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4832DEFA">
      <w:pPr>
        <w:spacing/>
        <w:rPr/>
      </w:pPr>
    </w:p>
    <w:tbl>
      <w:tblPr>
        <w:tblW w:w="9464" w:type="dxa"/>
        <w:tblInd w:w="-38" w:type="dxa"/>
        <w:tblBorders>
          <w:top w:val="single" w:color="auto" w:sz="12" w:space="0"/>
          <w:bottom w:val="single" w:color="auto" w:sz="12" w:space="0"/>
          <w:insideH w:val="single" w:color="auto" w:sz="12" w:space="0"/>
        </w:tblBorders>
        <w:tblLayout w:type="fixed"/>
        <w:tblCellMar>
          <w:left w:w="70" w:type="dxa"/>
          <w:right w:w="70" w:type="dxa"/>
        </w:tblCellMar>
        <w:tblLook w:val="0000" w:firstRow="0" w:lastRow="0" w:firstColumn="0" w:lastColumn="0" w:noHBand="0" w:noVBand="0"/>
      </w:tblPr>
      <w:tblGrid>
        <w:gridCol w:w="9464"/>
      </w:tblGrid>
      <w:tr>
        <w:trPr>
          <w:trHeight w:val="1899" w:hRule="atLeast"/>
        </w:trPr>
        <w:tc>
          <w:tcPr>
            <w:tcW w:type="dxa" w:w="9464"/>
            <w:tcBorders/>
          </w:tcPr>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r>
              <w:rPr>
                <w:noProof/>
                <w:sz w:val="24"/>
              </w:rPr>
              <w:t xml:space="preserve">Ausschreibungsunterlagen für Bauarbeiten</w:t>
            </w:r>
          </w:p>
          <w:p>
            <w:pPr>
              <w:spacing w:before="240"/>
              <w:rPr>
                <w:b/>
                <w:noProof/>
                <w:sz w:val="24"/>
              </w:rPr>
            </w:pPr>
            <w:r>
              <w:rPr>
                <w:b/>
                <w:noProof/>
                <w:sz w:val="24"/>
              </w:rPr>
              <w:t xml:space="preserve">Dokument </w:t>
            </w:r>
            <w:r>
              <w:rPr>
                <w:b/>
                <w:noProof/>
                <w:sz w:val="24"/>
              </w:rPr>
              <w:t xml:space="preserve">C</w:t>
            </w:r>
            <w:r>
              <w:rPr>
                <w:b/>
                <w:noProof/>
                <w:sz w:val="24"/>
              </w:rPr>
              <w:t xml:space="preserve">8</w:t>
            </w:r>
          </w:p>
          <w:p>
            <w:pPr>
              <w:spacing/>
              <w:rPr>
                <w:b/>
                <w:noProof/>
                <w:sz w:val="24"/>
              </w:rPr>
            </w:pPr>
            <w:r>
              <w:rPr>
                <w:b/>
                <w:noProof/>
                <w:sz w:val="24"/>
              </w:rPr>
              <w:t xml:space="preserve">Vorgaben Bauherr</w:t>
            </w:r>
            <w:r>
              <w:rPr>
                <w:b/>
                <w:noProof/>
                <w:sz w:val="24"/>
              </w:rPr>
              <w:t xml:space="preserve"> – </w:t>
            </w:r>
            <w:r>
              <w:rPr>
                <w:b/>
                <w:noProof/>
                <w:sz w:val="24"/>
              </w:rPr>
              <w:t xml:space="preserve">Spitzarbeiten an/in Starkstromanlagen von ewb</w:t>
            </w: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pPr>
            <w:bookmarkStart w:id="2" w:name="V_Dat"/>
            <w:r>
              <w:rPr>
                <w:b/>
                <w:noProof/>
                <w:sz w:val="24"/>
              </w:rPr>
              <w:t xml:space="preserve">Version 2.0 vom 31.03.2025</w:t>
            </w:r>
            <w:bookmarkEnd w:id="2"/>
          </w:p>
        </w:tc>
      </w:tr>
    </w:tbl>
    <w:p w14:paraId="54408B4C">
      <w:pPr>
        <w:pStyle w:val="Verzeichnis1"/>
        <w:spacing/>
        <w:rPr/>
      </w:pPr>
      <w:r>
        <w:rPr/>
        <w:br w:type="page"/>
      </w:r>
    </w:p>
    <w:p w14:paraId="43B8E9DE">
      <w:pPr>
        <w:pStyle w:val="Standardtext"/>
        <w:spacing/>
        <w:ind w:left="0"/>
        <w:rPr>
          <w:b/>
          <w:sz w:val="28"/>
        </w:rPr>
      </w:pPr>
      <w:r>
        <w:rPr>
          <w:b/>
          <w:sz w:val="28"/>
        </w:rPr>
        <w:t xml:space="preserve">Arbeitsanweisung </w:t>
      </w:r>
      <w:r>
        <w:rPr>
          <w:b/>
          <w:sz w:val="28"/>
        </w:rPr>
        <w:t xml:space="preserve"> </w:t>
      </w:r>
      <w:r>
        <w:rPr>
          <w:b/>
          <w:sz w:val="28"/>
        </w:rPr>
        <w:t xml:space="preserve">Spitzarbeiten</w:t>
      </w:r>
      <w:r>
        <w:rPr>
          <w:b/>
          <w:sz w:val="28"/>
        </w:rPr>
        <w:t xml:space="preserve"> an / in Starkstromanlagen von </w:t>
      </w:r>
      <w:r>
        <w:rPr>
          <w:b/>
          <w:sz w:val="28"/>
        </w:rPr>
        <w:t xml:space="preserve">ewb</w:t>
      </w:r>
    </w:p>
    <w:p w14:paraId="27F0C331">
      <w:pPr>
        <w:pStyle w:val="berschrift1"/>
        <w:numPr>
          <w:ilvl w:val="0"/>
          <w:numId w:val="2"/>
        </w:numPr>
        <w:spacing w:before="360" w:after="120"/>
        <w:rPr/>
      </w:pPr>
      <w:r>
        <w:rPr/>
        <w:t xml:space="preserve">Geltungsbereich </w:t>
      </w:r>
    </w:p>
    <w:p w14:paraId="5A7CE499">
      <w:pPr>
        <w:spacing w:before="120" w:after="120"/>
        <w:rPr/>
      </w:pPr>
      <w:r>
        <w:rPr/>
        <w:t xml:space="preserve">Diese Arbeitsanweisung gilt für alle Mitarbeitenden von </w:t>
      </w:r>
      <w:r>
        <w:rPr/>
        <w:t xml:space="preserve">ewb</w:t>
      </w:r>
      <w:r>
        <w:rPr/>
        <w:t xml:space="preserve"> und Fremdfirmen, die </w:t>
      </w:r>
      <w:r>
        <w:rPr/>
        <w:t xml:space="preserve">Spitzarbeiten an Elektro-Werkleitungen oder -Anlagen von </w:t>
      </w:r>
      <w:r>
        <w:rPr/>
        <w:t xml:space="preserve">Energie Wasser Bern planen, projektieren, anordnen oder ausführen. </w:t>
      </w:r>
    </w:p>
    <w:p w14:paraId="212DB01B">
      <w:pPr>
        <w:pStyle w:val="berschrift1"/>
        <w:numPr>
          <w:ilvl w:val="0"/>
          <w:numId w:val="2"/>
        </w:numPr>
        <w:spacing w:before="360" w:after="120"/>
        <w:rPr/>
      </w:pPr>
      <w:r>
        <w:rPr/>
        <w:t xml:space="preserve">Ziel </w:t>
      </w:r>
    </w:p>
    <w:p w14:paraId="70C9AED5">
      <w:pPr>
        <w:spacing w:before="120" w:after="120"/>
        <w:rPr/>
      </w:pPr>
      <w:r>
        <w:rPr/>
        <w:t xml:space="preserve">Tätigkeiten und Arbeiten im Fachbereich Elektrizität sind besonderen Gefahren ausgesetzt. Im</w:t>
      </w:r>
      <w:r>
        <w:rPr/>
        <w:t xml:space="preserve"> </w:t>
      </w:r>
      <w:r>
        <w:rPr/>
        <w:t xml:space="preserve">alltäglichen Umgang mit Starkstromanlagen bestehen für Personen erhebliche Gefahren. Folgende Schutzziele sind unbedingt und zwingend einzuhalten: </w:t>
      </w:r>
    </w:p>
    <w:p w14:paraId="044515F9">
      <w:pPr>
        <w:pStyle w:val="Listenabsatz"/>
        <w:numPr>
          <w:ilvl w:val="0"/>
          <w:numId w:val="8"/>
        </w:numPr>
        <w:spacing w:before="60" w:after="60"/>
        <w:rPr/>
      </w:pPr>
      <w:r>
        <w:rPr/>
        <w:t xml:space="preserve">Schutz vor Lichtbogen (Blendung, Hitze); </w:t>
      </w:r>
    </w:p>
    <w:p w14:paraId="696896D8">
      <w:pPr>
        <w:pStyle w:val="Listenabsatz"/>
        <w:numPr>
          <w:ilvl w:val="0"/>
          <w:numId w:val="8"/>
        </w:numPr>
        <w:spacing w:before="60" w:after="60"/>
        <w:rPr/>
      </w:pPr>
      <w:r>
        <w:rPr/>
        <w:t xml:space="preserve">Schutz vor </w:t>
      </w:r>
      <w:r>
        <w:rPr/>
        <w:t xml:space="preserve">Körperdurchströmung</w:t>
      </w:r>
      <w:r>
        <w:rPr/>
        <w:t xml:space="preserve"> (Elektrisieren); </w:t>
      </w:r>
    </w:p>
    <w:p w14:paraId="6C6FCECF">
      <w:pPr>
        <w:pStyle w:val="Listenabsatz"/>
        <w:numPr>
          <w:ilvl w:val="0"/>
          <w:numId w:val="8"/>
        </w:numPr>
        <w:spacing w:before="60" w:after="60"/>
        <w:rPr/>
      </w:pPr>
      <w:r>
        <w:rPr/>
        <w:t xml:space="preserve">Schutz vor Folgeschäden (Sturz, Brand u.a.). </w:t>
      </w:r>
    </w:p>
    <w:p w14:paraId="185DBC16">
      <w:pPr>
        <w:spacing w:before="120" w:after="120"/>
        <w:rPr/>
      </w:pPr>
      <w:r>
        <w:rPr/>
        <w:t xml:space="preserve">Die Einwirkungen können verursacht werden durch: </w:t>
      </w:r>
    </w:p>
    <w:p w14:paraId="5F054639">
      <w:pPr>
        <w:pStyle w:val="Listenabsatz"/>
        <w:numPr>
          <w:ilvl w:val="0"/>
          <w:numId w:val="8"/>
        </w:numPr>
        <w:spacing w:before="60" w:after="60"/>
        <w:rPr/>
      </w:pPr>
      <w:r>
        <w:rPr/>
        <w:t xml:space="preserve">e</w:t>
      </w:r>
      <w:r>
        <w:rPr/>
        <w:t xml:space="preserve">igenes Fehlverhalten; </w:t>
      </w:r>
    </w:p>
    <w:p w14:paraId="6863D551">
      <w:pPr>
        <w:pStyle w:val="Listenabsatz"/>
        <w:numPr>
          <w:ilvl w:val="0"/>
          <w:numId w:val="8"/>
        </w:numPr>
        <w:spacing w:before="60" w:after="60"/>
        <w:rPr/>
      </w:pPr>
      <w:r>
        <w:rPr/>
        <w:t xml:space="preserve">Systemfehler; </w:t>
      </w:r>
    </w:p>
    <w:p w14:paraId="58FB71BF">
      <w:pPr>
        <w:pStyle w:val="Listenabsatz"/>
        <w:numPr>
          <w:ilvl w:val="0"/>
          <w:numId w:val="8"/>
        </w:numPr>
        <w:spacing w:before="60" w:after="60"/>
        <w:rPr/>
      </w:pPr>
      <w:r>
        <w:rPr/>
        <w:t xml:space="preserve">Dritte; </w:t>
      </w:r>
    </w:p>
    <w:p w14:paraId="414786C0">
      <w:pPr>
        <w:pStyle w:val="Listenabsatz"/>
        <w:numPr>
          <w:ilvl w:val="0"/>
          <w:numId w:val="8"/>
        </w:numPr>
        <w:spacing w:before="60" w:after="60"/>
        <w:rPr/>
      </w:pPr>
      <w:r>
        <w:rPr/>
        <w:t xml:space="preserve">Umwelt. </w:t>
      </w:r>
    </w:p>
    <w:p w14:paraId="70094FD6">
      <w:pPr>
        <w:spacing w:before="120" w:after="120"/>
        <w:rPr/>
      </w:pPr>
      <w:r>
        <w:rPr/>
        <w:t xml:space="preserve">Um möglichen Gefährdungen entgegenzuwirken, ist es unabdingbar, bei jeder Arbeit: </w:t>
      </w:r>
    </w:p>
    <w:p w14:paraId="3048A7A6">
      <w:pPr>
        <w:pStyle w:val="Listenabsatz"/>
        <w:numPr>
          <w:ilvl w:val="0"/>
          <w:numId w:val="8"/>
        </w:numPr>
        <w:spacing w:before="60" w:after="60"/>
        <w:rPr/>
      </w:pPr>
      <w:r>
        <w:rPr/>
        <w:t xml:space="preserve">eine situationsbezogene Gefährdungs- und Risikobeurteilung vorzunehmen; </w:t>
      </w:r>
    </w:p>
    <w:p w14:paraId="6E545C26">
      <w:pPr>
        <w:pStyle w:val="Listenabsatz"/>
        <w:numPr>
          <w:ilvl w:val="0"/>
          <w:numId w:val="8"/>
        </w:numPr>
        <w:spacing w:before="60" w:after="60"/>
        <w:rPr/>
      </w:pPr>
      <w:r>
        <w:rPr/>
        <w:t xml:space="preserve">die richtige Arbeitsmethode festzulegen; </w:t>
      </w:r>
    </w:p>
    <w:p w14:paraId="35601DA2">
      <w:pPr>
        <w:pStyle w:val="Listenabsatz"/>
        <w:numPr>
          <w:ilvl w:val="0"/>
          <w:numId w:val="8"/>
        </w:numPr>
        <w:spacing w:before="60" w:after="60"/>
        <w:rPr/>
      </w:pPr>
      <w:r>
        <w:rPr/>
        <w:t xml:space="preserve">die Schutzmassnahmen zu definieren unter Einbezug der gewählten Arbeitsmethode; </w:t>
      </w:r>
    </w:p>
    <w:p w14:paraId="435DA532">
      <w:pPr>
        <w:pStyle w:val="Listenabsatz"/>
        <w:numPr>
          <w:ilvl w:val="0"/>
          <w:numId w:val="8"/>
        </w:numPr>
        <w:spacing w:before="60" w:after="60"/>
        <w:rPr/>
      </w:pPr>
      <w:r>
        <w:rPr/>
        <w:t xml:space="preserve">geeignetes Personal einzusetzen. </w:t>
      </w:r>
    </w:p>
    <w:p w14:paraId="7A9744BB">
      <w:pPr>
        <w:spacing w:before="120" w:after="120"/>
        <w:rPr/>
      </w:pPr>
      <w:r>
        <w:rPr/>
        <w:t xml:space="preserve">Personen, die Arbeiten an </w:t>
      </w:r>
      <w:r>
        <w:rPr/>
        <w:t xml:space="preserve">betonierten </w:t>
      </w:r>
      <w:r>
        <w:rPr/>
        <w:t xml:space="preserve">Elektro-Trassees ausführen, sind optimal vor elektrischen Einwirkungen zu schützen. In diesem Sinne regelt die vorliegende Arbeitsanweisung, unter welchen Bedingungen </w:t>
      </w:r>
      <w:r>
        <w:rPr/>
        <w:t xml:space="preserve">Spitzarbeiten </w:t>
      </w:r>
      <w:r>
        <w:rPr/>
        <w:t xml:space="preserve">ausgeführt werden dürfen.</w:t>
      </w:r>
    </w:p>
    <w:p w14:paraId="1834A469">
      <w:pPr>
        <w:pStyle w:val="berschrift1"/>
        <w:numPr>
          <w:ilvl w:val="0"/>
          <w:numId w:val="2"/>
        </w:numPr>
        <w:spacing w:before="360" w:after="120"/>
        <w:rPr/>
      </w:pPr>
      <w:r>
        <w:rPr/>
        <w:t xml:space="preserve">Einleitung</w:t>
      </w:r>
    </w:p>
    <w:p w14:paraId="0421B11C">
      <w:pPr>
        <w:spacing w:before="120" w:after="120"/>
        <w:rPr/>
      </w:pPr>
      <w:r>
        <w:rPr/>
        <w:t xml:space="preserve">Bei Tiefbauarbeiten sind oft Trassees des Verteilnetzes von </w:t>
      </w:r>
      <w:r>
        <w:rPr/>
        <w:t xml:space="preserve">ewb</w:t>
      </w:r>
      <w:r>
        <w:rPr/>
        <w:t xml:space="preserve"> frei zu legen oder es müssen Hochbauarbeiten in Trafostationen ausgeführt werden. Die in Betrieb stehenden Hoch- und Niederspannungskabel des Verteilnetzes von </w:t>
      </w:r>
      <w:r>
        <w:rPr/>
        <w:t xml:space="preserve">ewb</w:t>
      </w:r>
      <w:r>
        <w:rPr/>
        <w:t xml:space="preserve"> weisen eine sehr hohe Betriebssicherheit auf. Dennoch können aufgrund aktueller oder früherer Beschädigungen der Kabelisolation bei Bauarbeiten unerwartete Kurzschlüsse auftreten. Die dabei ausgelösten Flammbogen können Personen schwer oder sogar tödlich verletzen, wenn sich diese in der Nähe von freigelegten Kabelanlagen befinden. </w:t>
      </w:r>
    </w:p>
    <w:p w14:paraId="393CB178">
      <w:pPr>
        <w:spacing w:before="120" w:after="120"/>
        <w:rPr/>
      </w:pPr>
      <w:r>
        <w:rPr/>
        <w:t xml:space="preserve">Alle Beteiligten (Mitarbeitende von </w:t>
      </w:r>
      <w:r>
        <w:rPr/>
        <w:t xml:space="preserve">ewb</w:t>
      </w:r>
      <w:r>
        <w:rPr/>
        <w:t xml:space="preserve"> sowie Mitarbeitende von Ingenieur-, Architektur- und Bauunternehmungen) müssen sich dieser Gefahren unbedingt bewusst sein.</w:t>
      </w:r>
    </w:p>
    <w:p w14:paraId="687107E8">
      <w:pPr>
        <w:pStyle w:val="berschrift1"/>
        <w:numPr>
          <w:ilvl w:val="0"/>
          <w:numId w:val="2"/>
        </w:numPr>
        <w:spacing w:before="360" w:after="120"/>
        <w:rPr/>
      </w:pPr>
      <w:r>
        <w:rPr/>
        <w:t xml:space="preserve">Bestimmungen</w:t>
      </w:r>
    </w:p>
    <w:p w14:paraId="53493BC7">
      <w:pPr>
        <w:spacing w:before="120" w:after="120"/>
        <w:rPr>
          <w:b/>
          <w:bCs/>
        </w:rPr>
      </w:pPr>
      <w:r>
        <w:rPr>
          <w:b/>
          <w:bCs/>
        </w:rPr>
        <w:t xml:space="preserve">132 kV Kabeltrassees</w:t>
      </w:r>
    </w:p>
    <w:p w14:paraId="506DCCBD">
      <w:pPr>
        <w:pStyle w:val="Listenabsatz"/>
        <w:numPr>
          <w:ilvl w:val="0"/>
          <w:numId w:val="8"/>
        </w:numPr>
        <w:spacing w:before="60" w:after="60"/>
        <w:rPr/>
      </w:pPr>
      <w:r>
        <w:rPr/>
        <w:t xml:space="preserve">Spitzarbeiten an unter Spannung stehenden Kabelleitungen sind </w:t>
      </w:r>
      <w:r>
        <w:rPr>
          <w:b/>
          <w:bCs/>
        </w:rPr>
        <w:t xml:space="preserve">strengstens verboten</w:t>
      </w:r>
      <w:r>
        <w:rPr/>
        <w:t xml:space="preserve">! </w:t>
      </w:r>
    </w:p>
    <w:p w14:paraId="003A3EFE">
      <w:pPr>
        <w:pStyle w:val="Listenabsatz"/>
        <w:numPr>
          <w:ilvl w:val="0"/>
          <w:numId w:val="8"/>
        </w:numPr>
        <w:spacing w:before="60" w:after="60"/>
        <w:rPr/>
      </w:pPr>
      <w:r>
        <w:rPr/>
        <w:t xml:space="preserve">Spitzarbeiten an betonierten 132 kV Rohr-Trassees dürfen nur ausgeführt werden, wenn alle 132 kV Kabelleitungen nach den 5 Sicherheitsregeln gesichert sind. </w:t>
      </w:r>
    </w:p>
    <w:p w14:paraId="329FC87D">
      <w:pPr>
        <w:pStyle w:val="Listenabsatz"/>
        <w:numPr>
          <w:ilvl w:val="0"/>
          <w:numId w:val="8"/>
        </w:numPr>
        <w:spacing w:before="60" w:after="60"/>
        <w:rPr/>
      </w:pPr>
      <w:r>
        <w:rPr/>
        <w:t xml:space="preserve">Die Arbeitsanweisung „Massnahmen bei Bauarbeiten im Bereich der 132 kV-Kabeltrassees“ ist einzuhalten.</w:t>
      </w:r>
    </w:p>
    <w:p w14:paraId="1960E3A0">
      <w:pPr>
        <w:spacing/>
        <w:rPr/>
      </w:pPr>
      <w:r>
        <w:rPr/>
        <w:br w:type="page"/>
      </w:r>
    </w:p>
    <w:p w14:paraId="36DB2892">
      <w:pPr>
        <w:spacing w:before="120" w:after="120"/>
        <w:rPr>
          <w:b/>
          <w:bCs/>
        </w:rPr>
      </w:pPr>
      <w:r>
        <w:rPr>
          <w:b/>
          <w:bCs/>
        </w:rPr>
        <w:t xml:space="preserve">11.6 kV Kabeltrassees</w:t>
      </w:r>
    </w:p>
    <w:p w14:paraId="5BB01C6B">
      <w:pPr>
        <w:pStyle w:val="Listenabsatz"/>
        <w:numPr>
          <w:ilvl w:val="0"/>
          <w:numId w:val="8"/>
        </w:numPr>
        <w:spacing w:before="60" w:after="60"/>
        <w:rPr/>
      </w:pPr>
      <w:r>
        <w:rPr/>
        <w:t xml:space="preserve">Nach Möglichkeit sind alle MS-Kabel auszuschalten. </w:t>
      </w:r>
    </w:p>
    <w:p w14:paraId="3E3269C7">
      <w:pPr>
        <w:pStyle w:val="Listenabsatz"/>
        <w:numPr>
          <w:ilvl w:val="0"/>
          <w:numId w:val="8"/>
        </w:numPr>
        <w:spacing w:before="60" w:after="60"/>
        <w:rPr/>
      </w:pPr>
      <w:r>
        <w:rPr/>
        <w:t xml:space="preserve">Die Baustellenverantwortlichen (Bauleitung, Projektleitung u.a.) haben sich rechtzeitig, </w:t>
      </w:r>
      <w:r>
        <w:rPr/>
        <w:t xml:space="preserve">v</w:t>
      </w:r>
      <w:r>
        <w:rPr/>
        <w:t xml:space="preserve">or Beginn der Bauarbeiten, mit dem Schaltanweisungsberechtigen von </w:t>
      </w:r>
      <w:r>
        <w:rPr/>
        <w:t xml:space="preserve">ewb</w:t>
      </w:r>
      <w:r>
        <w:rPr/>
        <w:t xml:space="preserve"> in Verbindung zu setzen, damit genügend Zeit für die Koordination der nötigen MS-Schaltungen vorhanden ist. </w:t>
      </w:r>
    </w:p>
    <w:p w14:paraId="455FAF85">
      <w:pPr>
        <w:pStyle w:val="Listenabsatz"/>
        <w:numPr>
          <w:ilvl w:val="0"/>
          <w:numId w:val="8"/>
        </w:numPr>
        <w:spacing w:before="60" w:after="60"/>
        <w:rPr/>
      </w:pPr>
      <w:r>
        <w:rPr/>
        <w:t xml:space="preserve">Können aus betrieblichen Gründen nicht alle Kabelleitungen ausgeschaltet werden, dürfen die Spitzarbeiten nur durch Mitarbeitende von Energie Wasser Bern und/oder durch von Energie Wasser Bern ausgebildete und autorisierte Fachpersonen ausgeführt werden. </w:t>
      </w:r>
    </w:p>
    <w:p w14:paraId="037D027F">
      <w:pPr>
        <w:pStyle w:val="Listenabsatz"/>
        <w:numPr>
          <w:ilvl w:val="0"/>
          <w:numId w:val="8"/>
        </w:numPr>
        <w:spacing w:before="60" w:after="60"/>
        <w:rPr/>
      </w:pPr>
      <w:r>
        <w:rPr/>
        <w:t xml:space="preserve">In der obersten </w:t>
      </w:r>
      <w:r>
        <w:rPr/>
        <w:t xml:space="preserve">Rohrlage</w:t>
      </w:r>
      <w:r>
        <w:rPr/>
        <w:t xml:space="preserve"> (120 </w:t>
      </w:r>
      <w:r>
        <w:rPr/>
        <w:t xml:space="preserve">PE Kabelschutzrohr</w:t>
      </w:r>
      <w:r>
        <w:rPr/>
        <w:t xml:space="preserve">) müssen alle Mittelspannungskabel nach den 5 Sicherheitsregeln gesichert werden. </w:t>
      </w:r>
    </w:p>
    <w:p w14:paraId="31DCE764">
      <w:pPr>
        <w:pStyle w:val="Listenabsatz"/>
        <w:numPr>
          <w:ilvl w:val="0"/>
          <w:numId w:val="8"/>
        </w:numPr>
        <w:spacing w:before="60" w:after="60"/>
        <w:rPr/>
      </w:pPr>
      <w:r>
        <w:rPr/>
        <w:t xml:space="preserve">Der Auftrag muss schriftlich erteilt werden und alle nötigen Unterlagen sind abzugeben</w:t>
      </w:r>
      <w:r>
        <w:rPr/>
        <w:t xml:space="preserve"> </w:t>
      </w:r>
      <w:r>
        <w:rPr/>
        <w:t xml:space="preserve">(siehe Arbeitsauftrag für Spitzarbeiten). </w:t>
      </w:r>
    </w:p>
    <w:p w14:paraId="02A5B2A3">
      <w:pPr>
        <w:pStyle w:val="Listenabsatz"/>
        <w:numPr>
          <w:ilvl w:val="0"/>
          <w:numId w:val="8"/>
        </w:numPr>
        <w:spacing w:before="60" w:after="60"/>
        <w:rPr/>
      </w:pPr>
      <w:r>
        <w:rPr/>
        <w:t xml:space="preserve">Der Auftraggeber ist verpflichtet, den Auftragnehmer zu instruieren und zu überwachen. </w:t>
      </w:r>
    </w:p>
    <w:p w14:paraId="2E4EB7DA">
      <w:pPr>
        <w:pStyle w:val="Listenabsatz"/>
        <w:numPr>
          <w:ilvl w:val="0"/>
          <w:numId w:val="8"/>
        </w:numPr>
        <w:spacing w:before="60" w:after="60"/>
        <w:rPr/>
      </w:pPr>
      <w:r>
        <w:rPr/>
        <w:t xml:space="preserve">Die Arbeitsanweisung „Massnahmen bei Bauarbeiten im Bereich von 10 kV-Kabeltrassees“ ist einzuhalten. </w:t>
      </w:r>
    </w:p>
    <w:p w14:paraId="418DDE1B">
      <w:pPr>
        <w:pStyle w:val="Listenabsatz"/>
        <w:numPr>
          <w:ilvl w:val="0"/>
          <w:numId w:val="8"/>
        </w:numPr>
        <w:spacing w:before="60" w:after="60"/>
        <w:rPr/>
      </w:pPr>
      <w:r>
        <w:rPr/>
        <w:t xml:space="preserve">Es ist die PSA Schutzklasse 3 zu tragen gemäss Arbeitsanweisung „PSA-Anwendung bei Arbeiten / Tätigkeiten an/in Starkstromanlagen von </w:t>
      </w:r>
      <w:r>
        <w:rPr/>
        <w:t xml:space="preserve">ewb</w:t>
      </w:r>
      <w:r>
        <w:rPr/>
        <w:t xml:space="preserve">“.</w:t>
      </w:r>
    </w:p>
    <w:p w14:paraId="7A8E8713">
      <w:pPr>
        <w:spacing w:before="120" w:after="120"/>
        <w:rPr>
          <w:b/>
          <w:bCs/>
        </w:rPr>
      </w:pPr>
      <w:r>
        <w:rPr>
          <w:b/>
          <w:bCs/>
        </w:rPr>
        <w:t xml:space="preserve">0.4 kV Kabeltrassees</w:t>
      </w:r>
    </w:p>
    <w:p w14:paraId="45D8DB1E">
      <w:pPr>
        <w:pStyle w:val="Listenabsatz"/>
        <w:numPr>
          <w:ilvl w:val="0"/>
          <w:numId w:val="8"/>
        </w:numPr>
        <w:spacing w:before="60" w:after="60"/>
        <w:rPr/>
      </w:pPr>
      <w:r>
        <w:rPr/>
        <w:t xml:space="preserve">Nach Möglichkeit sind alle NS-Kabel auszuschalten. </w:t>
      </w:r>
    </w:p>
    <w:p w14:paraId="78575032">
      <w:pPr>
        <w:pStyle w:val="Listenabsatz"/>
        <w:numPr>
          <w:ilvl w:val="0"/>
          <w:numId w:val="8"/>
        </w:numPr>
        <w:spacing w:before="60" w:after="60"/>
        <w:rPr/>
      </w:pPr>
      <w:r>
        <w:rPr/>
        <w:t xml:space="preserve">Können </w:t>
      </w:r>
      <w:r>
        <w:rPr/>
        <w:t xml:space="preserve">aus betriebliche Gründen</w:t>
      </w:r>
      <w:r>
        <w:rPr/>
        <w:t xml:space="preserve"> nicht alle Kabelleitungen ausgeschaltet werden, dürfen die Spitzarbeiten nur durch Mitarbeitende von Energie Wasser Bern und/oder durch von Energie Wasser Bern ausgebildete und autorisierte Fachpersonen ausgeführt werden. </w:t>
      </w:r>
    </w:p>
    <w:p w14:paraId="1D7A0DEF">
      <w:pPr>
        <w:pStyle w:val="Listenabsatz"/>
        <w:numPr>
          <w:ilvl w:val="0"/>
          <w:numId w:val="8"/>
        </w:numPr>
        <w:spacing w:before="60" w:after="60"/>
        <w:rPr/>
      </w:pPr>
      <w:r>
        <w:rPr/>
        <w:t xml:space="preserve">Der Auftrag muss schriftlich erteilt werden und alle nötigen Unterlagen sind abzugeben (siehe Arbeitsauftrag für Spitzarbeiten). </w:t>
      </w:r>
    </w:p>
    <w:p w14:paraId="6E75501B">
      <w:pPr>
        <w:pStyle w:val="Listenabsatz"/>
        <w:numPr>
          <w:ilvl w:val="0"/>
          <w:numId w:val="8"/>
        </w:numPr>
        <w:spacing w:before="60" w:after="60"/>
        <w:rPr/>
      </w:pPr>
      <w:r>
        <w:rPr/>
        <w:t xml:space="preserve">Der Auftraggeber ist verpflichtet, den Auftragnehmer zu instruieren und zu überwachen. </w:t>
      </w:r>
    </w:p>
    <w:p w14:paraId="31D316EB">
      <w:pPr>
        <w:pStyle w:val="Listenabsatz"/>
        <w:numPr>
          <w:ilvl w:val="0"/>
          <w:numId w:val="8"/>
        </w:numPr>
        <w:spacing w:before="60" w:after="60"/>
        <w:rPr/>
      </w:pPr>
      <w:r>
        <w:rPr/>
        <w:t xml:space="preserve">Es ist die PSA Schutzklasse 2 zu tragen gemäss Arbeitsanweisung „PSA-Anwendung bei Arbeiten / Tätigkeiten an/in Starkstromanlagen von </w:t>
      </w:r>
      <w:r>
        <w:rPr/>
        <w:t xml:space="preserve">ewb</w:t>
      </w:r>
      <w:r>
        <w:rPr/>
        <w:t xml:space="preserve">“.</w:t>
      </w:r>
    </w:p>
    <w:p w14:paraId="0A22F97C">
      <w:pPr>
        <w:spacing w:before="120" w:after="120"/>
        <w:rPr>
          <w:b/>
          <w:bCs/>
        </w:rPr>
      </w:pPr>
      <w:r>
        <w:rPr>
          <w:b/>
          <w:bCs/>
        </w:rPr>
        <w:t xml:space="preserve">Trafostation</w:t>
      </w:r>
    </w:p>
    <w:p w14:paraId="765ECCB1">
      <w:pPr>
        <w:pStyle w:val="Listenabsatz"/>
        <w:numPr>
          <w:ilvl w:val="0"/>
          <w:numId w:val="8"/>
        </w:numPr>
        <w:spacing w:before="60" w:after="60"/>
        <w:rPr/>
      </w:pPr>
      <w:r>
        <w:rPr/>
        <w:t xml:space="preserve">Nach Möglichkeit sind alle MS- und NS-Kabel auszuschalten. </w:t>
      </w:r>
    </w:p>
    <w:p w14:paraId="11A15AA6">
      <w:pPr>
        <w:pStyle w:val="Listenabsatz"/>
        <w:numPr>
          <w:ilvl w:val="0"/>
          <w:numId w:val="8"/>
        </w:numPr>
        <w:spacing w:before="60" w:after="60"/>
        <w:rPr/>
      </w:pPr>
      <w:r>
        <w:rPr/>
        <w:t xml:space="preserve">Können aus betrieblichen Gründen nicht alle Kabelleitungen ausgeschaltet werden, </w:t>
      </w:r>
      <w:r>
        <w:rPr/>
        <w:t xml:space="preserve">sindfolgende</w:t>
      </w:r>
      <w:r>
        <w:rPr/>
        <w:t xml:space="preserve"> Massnahmen möglich:</w:t>
      </w:r>
    </w:p>
    <w:p w14:paraId="2AD2E90B">
      <w:pPr>
        <w:pStyle w:val="Listenabsatz"/>
        <w:numPr>
          <w:ilvl w:val="1"/>
          <w:numId w:val="8"/>
        </w:numPr>
        <w:spacing w:before="60" w:after="60"/>
        <w:rPr/>
      </w:pPr>
      <w:r>
        <w:rPr/>
        <w:t xml:space="preserve">Alle unter Spannung stehenden Kabelleitungen sind ausserhalb der Trafostation verlegt; oder </w:t>
      </w:r>
    </w:p>
    <w:p w14:paraId="6F315689">
      <w:pPr>
        <w:pStyle w:val="Listenabsatz"/>
        <w:numPr>
          <w:ilvl w:val="1"/>
          <w:numId w:val="8"/>
        </w:numPr>
        <w:spacing w:before="60" w:after="60"/>
        <w:rPr/>
      </w:pPr>
      <w:r>
        <w:rPr/>
        <w:t xml:space="preserve">Die unter Spannung stehenden Kabelleitungen sind innerhalb der Trafostation gegen mechanische Beschädigungen geschützt (Holzverschalung, PE- Rohr u.a.); oder </w:t>
      </w:r>
    </w:p>
    <w:p w14:paraId="08E62807">
      <w:pPr>
        <w:pStyle w:val="Listenabsatz"/>
        <w:numPr>
          <w:ilvl w:val="1"/>
          <w:numId w:val="8"/>
        </w:numPr>
        <w:spacing w:before="60" w:after="60"/>
        <w:rPr/>
      </w:pPr>
      <w:r>
        <w:rPr/>
        <w:t xml:space="preserve">Spitzarbeiten werden durch Mitarbeitende von Energie Wasser Bern und/oder durch von Energie Wasser Bern ausgebildete und autorisierte Fachpersonen ausgeführt. Es ist die PSA Schutzklasse 3 nach der Arbeitsanweisung „PSA-Anwendung bei Arbeiten / Tätigkeiten an/in Starkstromanlagen von </w:t>
      </w:r>
      <w:r>
        <w:rPr/>
        <w:t xml:space="preserve">ewb</w:t>
      </w:r>
      <w:r>
        <w:rPr/>
        <w:t xml:space="preserve">“ zu tragen. Zusätzlich muss der Auftrag schriftlich erteilt werden.</w:t>
      </w:r>
    </w:p>
    <w:p w14:paraId="6A5D3C79">
      <w:pPr>
        <w:pStyle w:val="berschrift1"/>
        <w:numPr>
          <w:ilvl w:val="0"/>
          <w:numId w:val="2"/>
        </w:numPr>
        <w:spacing w:before="360" w:after="120"/>
        <w:rPr/>
      </w:pPr>
      <w:r>
        <w:rPr/>
        <w:t xml:space="preserve">Grundlagen</w:t>
      </w:r>
    </w:p>
    <w:p w14:paraId="76E35604">
      <w:pPr>
        <w:pStyle w:val="Listenabsatz"/>
        <w:numPr>
          <w:ilvl w:val="0"/>
          <w:numId w:val="8"/>
        </w:numPr>
        <w:spacing w:before="60" w:after="60"/>
        <w:rPr/>
      </w:pPr>
      <w:r>
        <w:rPr/>
        <w:t xml:space="preserve">Arbeitsanweisung „PSA-Anwendung bei Arbeiten / Tätigkeiten an/in Starkstromanlagen von </w:t>
      </w:r>
      <w:r>
        <w:rPr/>
        <w:t xml:space="preserve">ewb</w:t>
      </w:r>
    </w:p>
    <w:p w14:paraId="0A67D20A">
      <w:pPr>
        <w:pStyle w:val="Listenabsatz"/>
        <w:numPr>
          <w:ilvl w:val="0"/>
          <w:numId w:val="8"/>
        </w:numPr>
        <w:spacing w:before="60" w:after="60"/>
        <w:rPr/>
      </w:pPr>
      <w:r>
        <w:rPr/>
        <w:t xml:space="preserve">Verordnung über elektrische Starkstromanlagen (Starkstromverordnung) </w:t>
      </w:r>
    </w:p>
    <w:p w14:paraId="4BF18367">
      <w:pPr>
        <w:pStyle w:val="Listenabsatz"/>
        <w:numPr>
          <w:ilvl w:val="0"/>
          <w:numId w:val="8"/>
        </w:numPr>
        <w:spacing w:before="60" w:after="60"/>
        <w:rPr/>
      </w:pPr>
      <w:r>
        <w:rPr/>
        <w:t xml:space="preserve">ESTI Richtlinie Nr. 407.0909, Tätigkeiten an elektrischen Anlagen </w:t>
      </w:r>
    </w:p>
    <w:p w14:paraId="0B4AE1FC">
      <w:pPr>
        <w:pStyle w:val="Listenabsatz"/>
        <w:numPr>
          <w:ilvl w:val="0"/>
          <w:numId w:val="8"/>
        </w:numPr>
        <w:spacing w:before="60" w:after="60"/>
        <w:rPr/>
      </w:pPr>
      <w:r>
        <w:rPr/>
        <w:t xml:space="preserve">EN 50110-1 Betrieb von elektrischen Anlagen </w:t>
      </w:r>
    </w:p>
    <w:p w14:paraId="15E5ECD0">
      <w:pPr>
        <w:pStyle w:val="Listenabsatz"/>
        <w:numPr>
          <w:ilvl w:val="0"/>
          <w:numId w:val="8"/>
        </w:numPr>
        <w:spacing w:before="60" w:after="60"/>
        <w:rPr/>
      </w:pPr>
      <w:r>
        <w:rPr/>
        <w:t xml:space="preserve">Sicherheitshandbuch VSE SVGW </w:t>
      </w:r>
    </w:p>
    <w:p w14:paraId="761F5104">
      <w:pPr>
        <w:pStyle w:val="berschrift1"/>
        <w:numPr>
          <w:ilvl w:val="0"/>
          <w:numId w:val="2"/>
        </w:numPr>
        <w:spacing w:before="360" w:after="120"/>
        <w:rPr/>
      </w:pPr>
      <w:r>
        <w:rPr/>
        <w:t xml:space="preserve">Schlussbestimmungen</w:t>
      </w:r>
    </w:p>
    <w:p w14:paraId="546727E9">
      <w:pPr>
        <w:spacing w:before="120" w:after="120"/>
        <w:rPr>
          <w:bCs/>
        </w:rPr>
      </w:pPr>
      <w:r>
        <w:rPr>
          <w:bCs/>
        </w:rPr>
        <w:t xml:space="preserve">Alle instruierten und sachverständigen Personen von </w:t>
      </w:r>
      <w:r>
        <w:rPr>
          <w:bCs/>
        </w:rPr>
        <w:t xml:space="preserve">ewb</w:t>
      </w:r>
      <w:r>
        <w:rPr>
          <w:bCs/>
        </w:rPr>
        <w:t xml:space="preserve"> sowie Fremdpersonen und Fremdfirmen, die Spitzarbeiten planen, projektieren, anordnen oder ausführen, sind über diese Arbeitsanweisung zu instruieren/anzuleiten. </w:t>
      </w:r>
    </w:p>
    <w:p w14:paraId="5D43BED1">
      <w:pPr>
        <w:spacing w:before="120" w:after="120"/>
        <w:rPr>
          <w:bCs/>
        </w:rPr>
      </w:pPr>
      <w:r>
        <w:rPr>
          <w:bCs/>
        </w:rPr>
        <w:t xml:space="preserve">Verantwortlich sind die Vorgesetzten und Auftraggeber von </w:t>
      </w:r>
      <w:r>
        <w:rPr>
          <w:bCs/>
        </w:rPr>
        <w:t xml:space="preserve">ewb</w:t>
      </w:r>
      <w:r>
        <w:rPr>
          <w:bCs/>
        </w:rPr>
        <w:t xml:space="preserve">. </w:t>
      </w:r>
    </w:p>
    <w:p w14:paraId="0DA9FB74">
      <w:pPr>
        <w:spacing w:before="120" w:after="120"/>
        <w:rPr>
          <w:bCs/>
        </w:rPr>
      </w:pPr>
      <w:r>
        <w:rPr>
          <w:bCs/>
        </w:rPr>
        <w:t xml:space="preserve">Alle sind verpflichtet, die Arbeitsanweisung zu befolgen. Nichtbeachten und Verstösse werden</w:t>
      </w:r>
      <w:r>
        <w:rPr>
          <w:bCs/>
        </w:rPr>
        <w:t xml:space="preserve"> </w:t>
      </w:r>
      <w:r>
        <w:rPr>
          <w:bCs/>
        </w:rPr>
        <w:t xml:space="preserve">disziplinarisch geahndet. </w:t>
      </w:r>
    </w:p>
    <w:p w14:paraId="6F5E9B6E">
      <w:pPr>
        <w:spacing w:before="120" w:after="120"/>
        <w:rPr>
          <w:bCs/>
        </w:rPr>
      </w:pPr>
      <w:r>
        <w:rPr>
          <w:bCs/>
        </w:rPr>
        <w:t xml:space="preserve">Wer Sicherheitsvorschriften missachtet, gefährdet das Leben und die Gesundheit von sich und von Mitarbeitenden/Arbeitskollegen. </w:t>
      </w:r>
    </w:p>
    <w:p w14:paraId="1166CBDF">
      <w:pPr>
        <w:spacing w:before="120" w:after="120"/>
        <w:rPr>
          <w:bCs/>
        </w:rPr>
      </w:pPr>
      <w:r>
        <w:rPr>
          <w:bCs/>
        </w:rPr>
        <w:t xml:space="preserve">Die vorliegende Arbeitsanweisung ersetzt alle vorhergegangenen Weisungen inkl. Richtlinien und alle ihr widersprechenden internen Bestimmungen. </w:t>
      </w:r>
    </w:p>
    <w:p w14:paraId="642DF054">
      <w:pPr>
        <w:pStyle w:val="berschrift1"/>
        <w:numPr>
          <w:ilvl w:val="0"/>
          <w:numId w:val="2"/>
        </w:numPr>
        <w:spacing w:before="360" w:after="120"/>
        <w:rPr/>
      </w:pPr>
      <w:r>
        <w:rPr/>
        <w:t xml:space="preserve">Inkraftsetzung</w:t>
      </w:r>
    </w:p>
    <w:p w14:paraId="5169A320">
      <w:pPr>
        <w:spacing w:before="120" w:after="120"/>
        <w:rPr/>
      </w:pPr>
      <w:r>
        <w:rPr/>
        <w:t xml:space="preserve">Diese Arbeitsanweisung tritt am 1. </w:t>
      </w:r>
      <w:r>
        <w:rPr/>
        <w:t xml:space="preserve">Januar</w:t>
      </w:r>
      <w:r>
        <w:rPr/>
        <w:t xml:space="preserve"> 201</w:t>
      </w:r>
      <w:r>
        <w:rPr/>
        <w:t xml:space="preserve">4</w:t>
      </w:r>
      <w:r>
        <w:rPr/>
        <w:t xml:space="preserve"> in Kraft.</w:t>
      </w:r>
    </w:p>
    <w:p w14:paraId="73008C8F">
      <w:pPr>
        <w:spacing/>
        <w:rPr/>
      </w:pPr>
    </w:p>
    <w:p w14:paraId="1EB1A8AF">
      <w:pPr>
        <w:spacing w:before="120" w:after="120"/>
        <w:rPr>
          <w:b/>
          <w:bCs/>
        </w:rPr>
      </w:pPr>
      <w:r>
        <w:rPr>
          <w:b/>
          <w:bCs/>
        </w:rPr>
        <w:t xml:space="preserve">Mitgeltende Dokumente/Beilagen</w:t>
      </w:r>
    </w:p>
    <w:p w14:paraId="716FFC26">
      <w:pPr>
        <w:spacing w:before="120" w:after="120"/>
        <w:rPr>
          <w:bCs/>
        </w:rPr>
      </w:pPr>
      <w:r>
        <w:rPr>
          <w:bCs/>
        </w:rPr>
        <w:t xml:space="preserve">Anhang 1</w:t>
      </w:r>
      <w:r>
        <w:rPr>
          <w:bCs/>
        </w:rPr>
        <w:tab/>
        <w:t xml:space="preserve"/>
      </w:r>
      <w:r>
        <w:rPr>
          <w:bCs/>
        </w:rPr>
        <w:t xml:space="preserve">Beispiele Rohrblöcke</w:t>
      </w:r>
    </w:p>
    <w:p w14:paraId="7E094353">
      <w:pPr>
        <w:spacing w:before="120" w:after="120"/>
        <w:rPr>
          <w:bCs/>
        </w:rPr>
      </w:pPr>
      <w:r>
        <w:rPr>
          <w:bCs/>
        </w:rPr>
        <w:t xml:space="preserve">Anhang 2</w:t>
      </w:r>
      <w:r>
        <w:rPr>
          <w:bCs/>
        </w:rPr>
        <w:tab/>
        <w:t xml:space="preserve"/>
      </w:r>
      <w:r>
        <w:rPr>
          <w:bCs/>
        </w:rPr>
        <w:t xml:space="preserve">Arbeitsmittel und persönliche Schutzausrüstung</w:t>
      </w:r>
    </w:p>
    <w:p w14:paraId="5CA3EFF2">
      <w:pPr>
        <w:spacing w:before="120" w:after="120"/>
        <w:rPr>
          <w:bCs/>
        </w:rPr>
      </w:pPr>
      <w:r>
        <w:rPr>
          <w:bCs/>
        </w:rPr>
        <w:t xml:space="preserve">Anhang 3</w:t>
      </w:r>
      <w:r>
        <w:rPr>
          <w:bCs/>
        </w:rPr>
        <w:tab/>
        <w:t xml:space="preserve"/>
      </w:r>
      <w:r>
        <w:rPr>
          <w:bCs/>
        </w:rPr>
        <w:t xml:space="preserve">Von Energie Wasser Bern ausgebildete und autorisierte Fachpersonen</w:t>
      </w:r>
      <w:r>
        <w:rPr>
          <w:bCs/>
        </w:rPr>
        <w:br w:type="page"/>
      </w:r>
    </w:p>
    <w:p w14:paraId="1838F148">
      <w:pPr>
        <w:spacing w:before="120" w:after="120"/>
        <w:rPr>
          <w:b/>
          <w:bCs/>
        </w:rPr>
      </w:pPr>
      <w:r>
        <w:rPr>
          <w:b/>
          <w:bCs/>
        </w:rPr>
        <w:t xml:space="preserve">Anhang 1: Beispiele Kabelrohrblöcke</w:t>
      </w:r>
    </w:p>
    <w:p w14:paraId="6E18C342">
      <w:pPr>
        <w:spacing/>
        <w:rPr>
          <w:b/>
          <w:strike/>
          <w:sz w:val="28"/>
        </w:rPr>
      </w:pPr>
      <w:r>
        <w:rPr>
          <w:b/>
          <w:strike/>
          <w:noProof/>
          <w:sz w:val="28"/>
        </w:rPr>
        <w:drawing>
          <wp:inline>
            <wp:extent cx="5994000" cy="8218800"/>
            <wp:effectExtent xmlns:wp="http://schemas.openxmlformats.org/drawingml/2006/wordprocessingDrawing"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5994000" cy="8218800"/>
                    </a:xfrm>
                    <a:prstGeom prst="rect">
                      <a:avLst/>
                    </a:prstGeom>
                  </pic:spPr>
                </pic:pic>
              </a:graphicData>
            </a:graphic>
          </wp:inline>
        </w:drawing>
      </w:r>
    </w:p>
    <w:p w14:paraId="630E2F74">
      <w:pPr>
        <w:spacing/>
        <w:rPr>
          <w:b/>
          <w:strike/>
          <w:sz w:val="28"/>
        </w:rPr>
      </w:pPr>
    </w:p>
    <w:p w14:paraId="37B3CA44">
      <w:pPr>
        <w:spacing/>
        <w:rPr>
          <w:b/>
          <w:strike/>
          <w:sz w:val="28"/>
        </w:rPr>
      </w:pPr>
    </w:p>
    <w:p w14:paraId="7DEE1141">
      <w:pPr>
        <w:spacing w:before="120" w:after="120"/>
        <w:rPr>
          <w:b/>
          <w:bCs/>
        </w:rPr>
      </w:pPr>
      <w:r>
        <w:rPr>
          <w:b/>
          <w:bCs/>
        </w:rPr>
        <w:t xml:space="preserve">Anhang </w:t>
      </w:r>
      <w:r>
        <w:rPr>
          <w:b/>
          <w:bCs/>
        </w:rPr>
        <w:t xml:space="preserve">2</w:t>
      </w:r>
      <w:r>
        <w:rPr>
          <w:b/>
          <w:bCs/>
        </w:rPr>
        <w:t xml:space="preserve">: </w:t>
      </w:r>
      <w:r>
        <w:rPr>
          <w:b/>
          <w:bCs/>
        </w:rPr>
        <w:t xml:space="preserve">Arbeitsmittel und persönliche Schutzausrüstung</w:t>
      </w:r>
    </w:p>
    <w:p w14:paraId="3118DB9B">
      <w:pPr>
        <w:spacing/>
        <w:rPr>
          <w:b/>
          <w:strike/>
          <w:sz w:val="28"/>
        </w:rPr>
      </w:pPr>
      <w:r>
        <w:rPr>
          <w:b/>
          <w:strike/>
          <w:noProof/>
          <w:sz w:val="28"/>
        </w:rPr>
        <w:drawing>
          <wp:inline>
            <wp:extent cx="5976620" cy="5283835"/>
            <wp:effectExtent xmlns:wp="http://schemas.openxmlformats.org/drawingml/2006/wordprocessingDrawing" l="0" t="0" r="5080" b="0"/>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5976620" cy="5283835"/>
                    </a:xfrm>
                    <a:prstGeom prst="rect">
                      <a:avLst/>
                    </a:prstGeom>
                  </pic:spPr>
                </pic:pic>
              </a:graphicData>
            </a:graphic>
          </wp:inline>
        </w:drawing>
      </w:r>
    </w:p>
    <w:p w14:paraId="0B05F0A8">
      <w:pPr>
        <w:spacing/>
        <w:rPr>
          <w:b/>
          <w:strike/>
          <w:sz w:val="28"/>
        </w:rPr>
      </w:pPr>
    </w:p>
    <w:p w14:paraId="42050203">
      <w:pPr>
        <w:spacing/>
        <w:rPr>
          <w:b/>
          <w:strike/>
          <w:sz w:val="28"/>
        </w:rPr>
      </w:pPr>
      <w:r>
        <w:rPr>
          <w:b/>
          <w:strike/>
          <w:sz w:val="28"/>
        </w:rPr>
        <w:br w:type="page"/>
      </w:r>
    </w:p>
    <w:p w14:paraId="1D9B8A42">
      <w:pPr>
        <w:spacing w:before="120" w:after="120"/>
        <w:rPr>
          <w:b/>
          <w:bCs/>
          <w:color w:val="FF0000"/>
        </w:rPr>
      </w:pPr>
      <w:r>
        <w:rPr>
          <w:b/>
          <w:bCs/>
          <w:color w:val="FF0000"/>
        </w:rPr>
        <w:t xml:space="preserve">Anhang 3: Von Energie Wasser Bern ausgebildete und autorisierte Fachpersonen</w:t>
      </w:r>
    </w:p>
    <w:tbl>
      <w:tblPr>
        <w:tblStyle w:val="Tabellenras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0"/>
        <w:gridCol w:w="2350"/>
        <w:gridCol w:w="2351"/>
        <w:gridCol w:w="2351"/>
      </w:tblGrid>
      <w:tr>
        <w:trPr/>
        <w:tc>
          <w:tcPr>
            <w:tcW w:type="dxa" w:w="2350"/>
            <w:tcBorders/>
            <w:shd w:fill="D9D9D9" w:color="auto" w:val="clear"/>
          </w:tcPr>
          <w:p>
            <w:pPr>
              <w:spacing/>
              <w:rPr>
                <w:b/>
                <w:bCs/>
                <w:color w:val="FF0000"/>
              </w:rPr>
            </w:pPr>
            <w:r>
              <w:rPr>
                <w:b/>
                <w:bCs/>
                <w:color w:val="FF0000"/>
              </w:rPr>
              <w:t xml:space="preserve">Name</w:t>
            </w:r>
          </w:p>
        </w:tc>
        <w:tc>
          <w:tcPr>
            <w:tcW w:type="dxa" w:w="2350"/>
            <w:tcBorders/>
            <w:shd w:fill="D9D9D9" w:color="auto" w:val="clear"/>
          </w:tcPr>
          <w:p>
            <w:pPr>
              <w:spacing/>
              <w:rPr>
                <w:b/>
                <w:bCs/>
                <w:color w:val="FF0000"/>
              </w:rPr>
            </w:pPr>
            <w:r>
              <w:rPr>
                <w:b/>
                <w:bCs/>
                <w:color w:val="FF0000"/>
              </w:rPr>
              <w:t xml:space="preserve">Vorname</w:t>
            </w:r>
          </w:p>
        </w:tc>
        <w:tc>
          <w:tcPr>
            <w:tcW w:type="dxa" w:w="2351"/>
            <w:tcBorders/>
            <w:shd w:fill="D9D9D9" w:color="auto" w:val="clear"/>
          </w:tcPr>
          <w:p>
            <w:pPr>
              <w:spacing/>
              <w:rPr>
                <w:b/>
                <w:bCs/>
                <w:color w:val="FF0000"/>
              </w:rPr>
            </w:pPr>
            <w:r>
              <w:rPr>
                <w:b/>
                <w:bCs/>
                <w:color w:val="FF0000"/>
              </w:rPr>
              <w:t xml:space="preserve">Firma</w:t>
            </w:r>
          </w:p>
        </w:tc>
        <w:tc>
          <w:tcPr>
            <w:tcW w:type="dxa" w:w="2351"/>
            <w:tcBorders/>
            <w:shd w:fill="D9D9D9" w:color="auto" w:val="clear"/>
          </w:tcPr>
          <w:p>
            <w:pPr>
              <w:spacing/>
              <w:rPr>
                <w:b/>
                <w:bCs/>
                <w:color w:val="FF0000"/>
              </w:rPr>
            </w:pPr>
            <w:r>
              <w:rPr>
                <w:b/>
                <w:bCs/>
                <w:color w:val="FF0000"/>
              </w:rPr>
              <w:t xml:space="preserve">Instruktionsdatum</w:t>
            </w:r>
          </w:p>
        </w:tc>
      </w:tr>
      <w:tr>
        <w:trPr/>
        <w:tc>
          <w:tcPr>
            <w:tcW w:type="dxa" w:w="2350"/>
            <w:tcBorders/>
          </w:tcPr>
          <w:p>
            <w:pPr>
              <w:spacing/>
              <w:rPr>
                <w:color w:val="FF0000"/>
              </w:rPr>
            </w:pPr>
            <w:r>
              <w:rPr>
                <w:color w:val="FF0000"/>
              </w:rPr>
              <w:t xml:space="preserve">Shaban</w:t>
            </w:r>
          </w:p>
        </w:tc>
        <w:tc>
          <w:tcPr>
            <w:tcW w:type="dxa" w:w="2350"/>
            <w:tcBorders/>
          </w:tcPr>
          <w:p>
            <w:pPr>
              <w:spacing/>
              <w:rPr>
                <w:color w:val="FF0000"/>
              </w:rPr>
            </w:pPr>
            <w:r>
              <w:rPr>
                <w:color w:val="FF0000"/>
              </w:rPr>
              <w:t xml:space="preserve">Ilazi</w:t>
            </w:r>
          </w:p>
        </w:tc>
        <w:tc>
          <w:tcPr>
            <w:tcW w:type="dxa" w:w="2351"/>
            <w:tcBorders/>
          </w:tcPr>
          <w:p>
            <w:pPr>
              <w:spacing/>
              <w:rPr>
                <w:color w:val="FF0000"/>
              </w:rPr>
            </w:pPr>
            <w:r>
              <w:rPr>
                <w:color w:val="FF0000"/>
              </w:rPr>
              <w:t xml:space="preserve">Friedli + </w:t>
            </w:r>
            <w:r>
              <w:rPr>
                <w:color w:val="FF0000"/>
              </w:rPr>
              <w:t xml:space="preserve">Caprani</w:t>
            </w:r>
            <w:r>
              <w:rPr>
                <w:color w:val="FF0000"/>
              </w:rPr>
              <w:t xml:space="preserve"> AG</w:t>
            </w:r>
          </w:p>
        </w:tc>
        <w:tc>
          <w:tcPr>
            <w:tcW w:type="dxa" w:w="2351"/>
            <w:tcBorders/>
          </w:tcPr>
          <w:p>
            <w:pPr>
              <w:spacing/>
              <w:rPr>
                <w:color w:val="FF0000"/>
              </w:rPr>
            </w:pPr>
            <w:r>
              <w:rPr>
                <w:color w:val="FF0000"/>
              </w:rPr>
              <w:t xml:space="preserve">19.08.2013</w:t>
            </w:r>
          </w:p>
        </w:tc>
      </w:tr>
      <w:tr>
        <w:trPr/>
        <w:tc>
          <w:tcPr>
            <w:tcW w:type="dxa" w:w="2350"/>
            <w:tcBorders/>
          </w:tcPr>
          <w:p>
            <w:pPr>
              <w:spacing/>
              <w:rPr>
                <w:color w:val="FF0000"/>
              </w:rPr>
            </w:pPr>
            <w:r>
              <w:rPr>
                <w:color w:val="FF0000"/>
              </w:rPr>
              <w:t xml:space="preserve">Kohler</w:t>
            </w:r>
          </w:p>
        </w:tc>
        <w:tc>
          <w:tcPr>
            <w:tcW w:type="dxa" w:w="2350"/>
            <w:tcBorders/>
          </w:tcPr>
          <w:p>
            <w:pPr>
              <w:spacing/>
              <w:rPr>
                <w:color w:val="FF0000"/>
              </w:rPr>
            </w:pPr>
            <w:r>
              <w:rPr>
                <w:color w:val="FF0000"/>
              </w:rPr>
              <w:t xml:space="preserve">Peter</w:t>
            </w:r>
          </w:p>
        </w:tc>
        <w:tc>
          <w:tcPr>
            <w:tcW w:type="dxa" w:w="2351"/>
            <w:tcBorders/>
          </w:tcPr>
          <w:p>
            <w:pPr>
              <w:spacing/>
              <w:rPr>
                <w:color w:val="FF0000"/>
              </w:rPr>
            </w:pPr>
            <w:r>
              <w:rPr>
                <w:color w:val="FF0000"/>
              </w:rPr>
              <w:t xml:space="preserve">Stucki AG Bern</w:t>
            </w:r>
          </w:p>
        </w:tc>
        <w:tc>
          <w:tcPr>
            <w:tcW w:type="dxa" w:w="2351"/>
            <w:tcBorders/>
          </w:tcPr>
          <w:p>
            <w:pPr>
              <w:spacing/>
              <w:rPr>
                <w:color w:val="FF0000"/>
              </w:rPr>
            </w:pPr>
            <w:r>
              <w:rPr>
                <w:color w:val="FF0000"/>
              </w:rPr>
              <w:t xml:space="preserve">19.08.2013</w:t>
            </w:r>
          </w:p>
        </w:tc>
      </w:tr>
      <w:tr>
        <w:trPr/>
        <w:tc>
          <w:tcPr>
            <w:tcW w:type="dxa" w:w="2350"/>
            <w:tcBorders/>
          </w:tcPr>
          <w:p>
            <w:pPr>
              <w:spacing/>
              <w:rPr>
                <w:color w:val="FF0000"/>
              </w:rPr>
            </w:pPr>
            <w:r>
              <w:rPr>
                <w:color w:val="FF0000"/>
              </w:rPr>
              <w:t xml:space="preserve">Sulejmani</w:t>
            </w:r>
          </w:p>
        </w:tc>
        <w:tc>
          <w:tcPr>
            <w:tcW w:type="dxa" w:w="2350"/>
            <w:tcBorders/>
          </w:tcPr>
          <w:p>
            <w:pPr>
              <w:spacing/>
              <w:rPr>
                <w:color w:val="FF0000"/>
              </w:rPr>
            </w:pPr>
            <w:r>
              <w:rPr>
                <w:color w:val="FF0000"/>
              </w:rPr>
              <w:t xml:space="preserve">Qamil</w:t>
            </w:r>
          </w:p>
        </w:tc>
        <w:tc>
          <w:tcPr>
            <w:tcW w:type="dxa" w:w="2351"/>
            <w:tcBorders/>
          </w:tcPr>
          <w:p>
            <w:pPr>
              <w:spacing/>
              <w:rPr>
                <w:color w:val="FF0000"/>
              </w:rPr>
            </w:pPr>
            <w:r>
              <w:rPr>
                <w:color w:val="FF0000"/>
              </w:rPr>
              <w:t xml:space="preserve">Huldi</w:t>
            </w:r>
            <w:r>
              <w:rPr>
                <w:color w:val="FF0000"/>
              </w:rPr>
              <w:t xml:space="preserve"> + Stucki AG</w:t>
            </w:r>
          </w:p>
        </w:tc>
        <w:tc>
          <w:tcPr>
            <w:tcW w:type="dxa" w:w="2351"/>
            <w:tcBorders/>
          </w:tcPr>
          <w:p>
            <w:pPr>
              <w:spacing/>
              <w:rPr>
                <w:color w:val="FF0000"/>
              </w:rPr>
            </w:pPr>
            <w:r>
              <w:rPr>
                <w:color w:val="FF0000"/>
              </w:rPr>
              <w:t xml:space="preserve">19.08.2013</w:t>
            </w:r>
          </w:p>
        </w:tc>
      </w:tr>
      <w:tr>
        <w:trPr/>
        <w:tc>
          <w:tcPr>
            <w:tcW w:type="dxa" w:w="2350"/>
            <w:tcBorders/>
          </w:tcPr>
          <w:p>
            <w:pPr>
              <w:spacing/>
              <w:rPr>
                <w:color w:val="FF0000"/>
              </w:rPr>
            </w:pPr>
            <w:r>
              <w:rPr>
                <w:color w:val="FF0000"/>
              </w:rPr>
              <w:t xml:space="preserve">Lafontaine</w:t>
            </w:r>
          </w:p>
        </w:tc>
        <w:tc>
          <w:tcPr>
            <w:tcW w:type="dxa" w:w="2350"/>
            <w:tcBorders/>
          </w:tcPr>
          <w:p>
            <w:pPr>
              <w:spacing/>
              <w:rPr>
                <w:color w:val="FF0000"/>
              </w:rPr>
            </w:pPr>
            <w:r>
              <w:rPr>
                <w:color w:val="FF0000"/>
              </w:rPr>
              <w:t xml:space="preserve">Joël</w:t>
            </w:r>
          </w:p>
        </w:tc>
        <w:tc>
          <w:tcPr>
            <w:tcW w:type="dxa" w:w="2351"/>
            <w:tcBorders/>
          </w:tcPr>
          <w:p>
            <w:pPr>
              <w:spacing/>
              <w:rPr>
                <w:color w:val="FF0000"/>
              </w:rPr>
            </w:pPr>
            <w:r>
              <w:rPr>
                <w:color w:val="FF0000"/>
              </w:rPr>
              <w:t xml:space="preserve">Brogini</w:t>
            </w:r>
            <w:r>
              <w:rPr>
                <w:color w:val="FF0000"/>
              </w:rPr>
              <w:t xml:space="preserve"> AG</w:t>
            </w:r>
          </w:p>
        </w:tc>
        <w:tc>
          <w:tcPr>
            <w:tcW w:type="dxa" w:w="2351"/>
            <w:tcBorders/>
          </w:tcPr>
          <w:p>
            <w:pPr>
              <w:spacing/>
              <w:rPr>
                <w:color w:val="FF0000"/>
              </w:rPr>
            </w:pPr>
            <w:r>
              <w:rPr>
                <w:color w:val="FF0000"/>
              </w:rPr>
              <w:t xml:space="preserve">09.03.2017</w:t>
            </w:r>
          </w:p>
        </w:tc>
      </w:tr>
      <w:tr>
        <w:trPr/>
        <w:tc>
          <w:tcPr>
            <w:tcW w:type="dxa" w:w="2350"/>
            <w:tcBorders/>
          </w:tcPr>
          <w:p>
            <w:pPr>
              <w:spacing/>
              <w:rPr>
                <w:color w:val="FF0000"/>
              </w:rPr>
            </w:pPr>
            <w:r>
              <w:rPr>
                <w:color w:val="FF0000"/>
              </w:rPr>
              <w:t xml:space="preserve">Srisomsong</w:t>
            </w:r>
          </w:p>
        </w:tc>
        <w:tc>
          <w:tcPr>
            <w:tcW w:type="dxa" w:w="2350"/>
            <w:tcBorders/>
          </w:tcPr>
          <w:p>
            <w:pPr>
              <w:spacing/>
              <w:rPr>
                <w:color w:val="FF0000"/>
              </w:rPr>
            </w:pPr>
            <w:r>
              <w:rPr>
                <w:color w:val="FF0000"/>
              </w:rPr>
              <w:t xml:space="preserve">Phaithoon</w:t>
            </w:r>
          </w:p>
        </w:tc>
        <w:tc>
          <w:tcPr>
            <w:tcW w:type="dxa" w:w="2351"/>
            <w:tcBorders/>
          </w:tcPr>
          <w:p>
            <w:pPr>
              <w:spacing/>
              <w:rPr>
                <w:color w:val="FF0000"/>
              </w:rPr>
            </w:pPr>
            <w:r>
              <w:rPr>
                <w:color w:val="FF0000"/>
              </w:rPr>
              <w:t xml:space="preserve">Brogini</w:t>
            </w:r>
            <w:r>
              <w:rPr>
                <w:color w:val="FF0000"/>
              </w:rPr>
              <w:t xml:space="preserve"> AG</w:t>
            </w:r>
          </w:p>
        </w:tc>
        <w:tc>
          <w:tcPr>
            <w:tcW w:type="dxa" w:w="2351"/>
            <w:tcBorders/>
          </w:tcPr>
          <w:p>
            <w:pPr>
              <w:spacing/>
              <w:rPr>
                <w:color w:val="FF0000"/>
              </w:rPr>
            </w:pPr>
            <w:r>
              <w:rPr>
                <w:color w:val="FF0000"/>
              </w:rPr>
              <w:t xml:space="preserve">09.03.2017</w:t>
            </w:r>
          </w:p>
        </w:tc>
      </w:tr>
      <w:tr>
        <w:trPr/>
        <w:tc>
          <w:tcPr>
            <w:tcW w:type="dxa" w:w="2350"/>
            <w:tcBorders/>
          </w:tcPr>
          <w:p>
            <w:pPr>
              <w:spacing/>
              <w:rPr>
                <w:color w:val="FF0000"/>
              </w:rPr>
            </w:pPr>
            <w:r>
              <w:rPr>
                <w:color w:val="FF0000"/>
              </w:rPr>
              <w:t xml:space="preserve">Emini</w:t>
            </w:r>
          </w:p>
        </w:tc>
        <w:tc>
          <w:tcPr>
            <w:tcW w:type="dxa" w:w="2350"/>
            <w:tcBorders/>
          </w:tcPr>
          <w:p>
            <w:pPr>
              <w:spacing/>
              <w:rPr>
                <w:color w:val="FF0000"/>
              </w:rPr>
            </w:pPr>
            <w:r>
              <w:rPr>
                <w:color w:val="FF0000"/>
              </w:rPr>
              <w:t xml:space="preserve">Zulfi</w:t>
            </w:r>
          </w:p>
        </w:tc>
        <w:tc>
          <w:tcPr>
            <w:tcW w:type="dxa" w:w="2351"/>
            <w:tcBorders/>
          </w:tcPr>
          <w:p>
            <w:pPr>
              <w:spacing/>
              <w:rPr>
                <w:color w:val="FF0000"/>
              </w:rPr>
            </w:pPr>
            <w:r>
              <w:rPr>
                <w:color w:val="FF0000"/>
              </w:rPr>
              <w:t xml:space="preserve">Brogini</w:t>
            </w:r>
            <w:r>
              <w:rPr>
                <w:color w:val="FF0000"/>
              </w:rPr>
              <w:t xml:space="preserve"> AG</w:t>
            </w:r>
          </w:p>
        </w:tc>
        <w:tc>
          <w:tcPr>
            <w:tcW w:type="dxa" w:w="2351"/>
            <w:tcBorders/>
          </w:tcPr>
          <w:p>
            <w:pPr>
              <w:spacing/>
              <w:rPr>
                <w:color w:val="FF0000"/>
              </w:rPr>
            </w:pPr>
            <w:r>
              <w:rPr>
                <w:color w:val="FF0000"/>
              </w:rPr>
              <w:t xml:space="preserve">09.03.2017</w:t>
            </w:r>
          </w:p>
        </w:tc>
      </w:tr>
      <w:tr>
        <w:trPr/>
        <w:tc>
          <w:tcPr>
            <w:tcW w:type="dxa" w:w="2350"/>
            <w:tcBorders/>
          </w:tcPr>
          <w:p>
            <w:pPr>
              <w:spacing/>
              <w:rPr>
                <w:color w:val="FF0000"/>
              </w:rPr>
            </w:pPr>
            <w:r>
              <w:rPr>
                <w:color w:val="FF0000"/>
              </w:rPr>
              <w:t xml:space="preserve">Jourdan</w:t>
            </w:r>
          </w:p>
        </w:tc>
        <w:tc>
          <w:tcPr>
            <w:tcW w:type="dxa" w:w="2350"/>
            <w:tcBorders/>
          </w:tcPr>
          <w:p>
            <w:pPr>
              <w:spacing/>
              <w:rPr>
                <w:color w:val="FF0000"/>
              </w:rPr>
            </w:pPr>
            <w:r>
              <w:rPr>
                <w:color w:val="FF0000"/>
              </w:rPr>
              <w:t xml:space="preserve">Alain</w:t>
            </w:r>
          </w:p>
        </w:tc>
        <w:tc>
          <w:tcPr>
            <w:tcW w:type="dxa" w:w="2351"/>
            <w:tcBorders/>
          </w:tcPr>
          <w:p>
            <w:pPr>
              <w:spacing/>
              <w:rPr>
                <w:color w:val="FF0000"/>
              </w:rPr>
            </w:pPr>
            <w:r>
              <w:rPr>
                <w:color w:val="FF0000"/>
              </w:rPr>
              <w:t xml:space="preserve">Brogini</w:t>
            </w:r>
            <w:r>
              <w:rPr>
                <w:color w:val="FF0000"/>
              </w:rPr>
              <w:t xml:space="preserve"> AG</w:t>
            </w:r>
          </w:p>
        </w:tc>
        <w:tc>
          <w:tcPr>
            <w:tcW w:type="dxa" w:w="2351"/>
            <w:tcBorders/>
          </w:tcPr>
          <w:p>
            <w:pPr>
              <w:spacing/>
              <w:rPr>
                <w:color w:val="FF0000"/>
              </w:rPr>
            </w:pPr>
            <w:r>
              <w:rPr>
                <w:color w:val="FF0000"/>
              </w:rPr>
              <w:t xml:space="preserve">09.03.2017</w:t>
            </w:r>
          </w:p>
        </w:tc>
      </w:tr>
      <w:tr>
        <w:trPr/>
        <w:tc>
          <w:tcPr>
            <w:tcW w:type="dxa" w:w="2350"/>
            <w:tcBorders/>
          </w:tcPr>
          <w:p>
            <w:pPr>
              <w:spacing/>
              <w:rPr>
                <w:color w:val="FF0000"/>
              </w:rPr>
            </w:pPr>
            <w:r>
              <w:rPr>
                <w:color w:val="FF0000"/>
              </w:rPr>
              <w:t xml:space="preserve">Salzmann</w:t>
            </w:r>
          </w:p>
        </w:tc>
        <w:tc>
          <w:tcPr>
            <w:tcW w:type="dxa" w:w="2350"/>
            <w:tcBorders/>
          </w:tcPr>
          <w:p>
            <w:pPr>
              <w:spacing/>
              <w:rPr>
                <w:color w:val="FF0000"/>
              </w:rPr>
            </w:pPr>
            <w:r>
              <w:rPr>
                <w:color w:val="FF0000"/>
              </w:rPr>
              <w:t xml:space="preserve">René</w:t>
            </w:r>
          </w:p>
        </w:tc>
        <w:tc>
          <w:tcPr>
            <w:tcW w:type="dxa" w:w="2351"/>
            <w:tcBorders/>
          </w:tcPr>
          <w:p>
            <w:pPr>
              <w:spacing/>
              <w:rPr>
                <w:color w:val="FF0000"/>
              </w:rPr>
            </w:pPr>
            <w:r>
              <w:rPr>
                <w:color w:val="FF0000"/>
              </w:rPr>
              <w:t xml:space="preserve">Huldi</w:t>
            </w:r>
            <w:r>
              <w:rPr>
                <w:color w:val="FF0000"/>
              </w:rPr>
              <w:t xml:space="preserve"> + Stucki AG</w:t>
            </w:r>
          </w:p>
        </w:tc>
        <w:tc>
          <w:tcPr>
            <w:tcW w:type="dxa" w:w="2351"/>
            <w:tcBorders/>
          </w:tcPr>
          <w:p>
            <w:pPr>
              <w:spacing/>
              <w:rPr>
                <w:color w:val="FF0000"/>
              </w:rPr>
            </w:pPr>
            <w:r>
              <w:rPr>
                <w:color w:val="FF0000"/>
              </w:rPr>
              <w:t xml:space="preserve">09.03.2017</w:t>
            </w:r>
          </w:p>
        </w:tc>
      </w:tr>
      <w:tr>
        <w:trPr/>
        <w:tc>
          <w:tcPr>
            <w:tcW w:type="dxa" w:w="2350"/>
            <w:tcBorders/>
          </w:tcPr>
          <w:p>
            <w:pPr>
              <w:spacing/>
              <w:rPr>
                <w:color w:val="FF0000"/>
              </w:rPr>
            </w:pPr>
            <w:r>
              <w:rPr>
                <w:color w:val="FF0000"/>
              </w:rPr>
              <w:t xml:space="preserve">Da Costa Pinto</w:t>
            </w:r>
          </w:p>
        </w:tc>
        <w:tc>
          <w:tcPr>
            <w:tcW w:type="dxa" w:w="2350"/>
            <w:tcBorders/>
          </w:tcPr>
          <w:p>
            <w:pPr>
              <w:spacing/>
              <w:rPr>
                <w:color w:val="FF0000"/>
              </w:rPr>
            </w:pPr>
            <w:r>
              <w:rPr>
                <w:color w:val="FF0000"/>
              </w:rPr>
              <w:t xml:space="preserve">Paulo Alexandre</w:t>
            </w:r>
          </w:p>
        </w:tc>
        <w:tc>
          <w:tcPr>
            <w:tcW w:type="dxa" w:w="2351"/>
            <w:tcBorders/>
          </w:tcPr>
          <w:p>
            <w:pPr>
              <w:spacing/>
              <w:rPr>
                <w:color w:val="FF0000"/>
              </w:rPr>
            </w:pPr>
            <w:r>
              <w:rPr>
                <w:color w:val="FF0000"/>
              </w:rPr>
              <w:t xml:space="preserve">Bautag</w:t>
            </w:r>
            <w:r>
              <w:rPr>
                <w:color w:val="FF0000"/>
              </w:rPr>
              <w:t xml:space="preserve"> AG</w:t>
            </w:r>
          </w:p>
        </w:tc>
        <w:tc>
          <w:tcPr>
            <w:tcW w:type="dxa" w:w="2351"/>
            <w:tcBorders/>
          </w:tcPr>
          <w:p>
            <w:pPr>
              <w:spacing/>
              <w:rPr>
                <w:color w:val="FF0000"/>
              </w:rPr>
            </w:pPr>
            <w:r>
              <w:rPr>
                <w:color w:val="FF0000"/>
              </w:rPr>
              <w:t xml:space="preserve">09.03.2017</w:t>
            </w:r>
          </w:p>
        </w:tc>
      </w:tr>
      <w:tr>
        <w:trPr/>
        <w:tc>
          <w:tcPr>
            <w:tcW w:type="dxa" w:w="2350"/>
            <w:tcBorders/>
          </w:tcPr>
          <w:p>
            <w:pPr>
              <w:spacing/>
              <w:rPr>
                <w:color w:val="FF0000"/>
              </w:rPr>
            </w:pPr>
            <w:r>
              <w:rPr>
                <w:color w:val="FF0000"/>
              </w:rPr>
              <w:t xml:space="preserve">Labinot</w:t>
            </w:r>
          </w:p>
        </w:tc>
        <w:tc>
          <w:tcPr>
            <w:tcW w:type="dxa" w:w="2350"/>
            <w:tcBorders/>
          </w:tcPr>
          <w:p>
            <w:pPr>
              <w:spacing/>
              <w:rPr>
                <w:color w:val="FF0000"/>
              </w:rPr>
            </w:pPr>
            <w:r>
              <w:rPr>
                <w:color w:val="FF0000"/>
              </w:rPr>
              <w:t xml:space="preserve">Ismajli</w:t>
            </w:r>
          </w:p>
        </w:tc>
        <w:tc>
          <w:tcPr>
            <w:tcW w:type="dxa" w:w="2351"/>
            <w:tcBorders/>
          </w:tcPr>
          <w:p>
            <w:pPr>
              <w:spacing/>
              <w:rPr>
                <w:color w:val="FF0000"/>
              </w:rPr>
            </w:pPr>
            <w:r>
              <w:rPr>
                <w:color w:val="FF0000"/>
              </w:rPr>
              <w:t xml:space="preserve">Bautag</w:t>
            </w:r>
            <w:r>
              <w:rPr>
                <w:color w:val="FF0000"/>
              </w:rPr>
              <w:t xml:space="preserve"> AG</w:t>
            </w:r>
          </w:p>
        </w:tc>
        <w:tc>
          <w:tcPr>
            <w:tcW w:type="dxa" w:w="2351"/>
            <w:tcBorders/>
          </w:tcPr>
          <w:p>
            <w:pPr>
              <w:spacing/>
              <w:rPr>
                <w:color w:val="FF0000"/>
              </w:rPr>
            </w:pPr>
            <w:r>
              <w:rPr>
                <w:color w:val="FF0000"/>
              </w:rPr>
              <w:t xml:space="preserve">09.03.2017</w:t>
            </w:r>
          </w:p>
        </w:tc>
      </w:tr>
    </w:tbl>
    <w:p w14:paraId="712E30FD">
      <w:pPr>
        <w:spacing w:before="120" w:after="120"/>
        <w:rPr>
          <w:b/>
          <w:bCs/>
        </w:rPr>
      </w:pPr>
    </w:p>
    <w:p w14:paraId="479159F8">
      <w:pPr>
        <w:spacing/>
        <w:rPr>
          <w:b/>
          <w:strike/>
          <w:sz w:val="28"/>
        </w:rPr>
      </w:pPr>
    </w:p>
    <w:sectPr>
      <w:headerReference w:type="first" r:id="rId3"/>
      <w:headerReference w:type="default" r:id="rId4"/>
      <w:footerReference w:type="default" r:id="rId5"/>
      <w:type w:val="continuous"/>
      <w:pgSz w:w="11906" w:h="16838"/>
      <w:pgMar w:top="1701" w:right="1247" w:bottom="567" w:left="1247" w:header="680" w:footer="567" w:gutter="0"/>
      <w:pgBorders/>
      <w:pgNumType w:fmt="decimal"/>
      <w:cols w:num="1" w:equalWidth="1"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Frutiger LT Com 55 Roman">
    <w:altName w:val="Calibri"/>
    <w:charset w:val="0"/>
    <w:family w:val="swiss"/>
    <w:pitch w:val="variable"/>
    <w:sig w:usb0="800000AF" w:usb1="5000204A" w:usb2="00000000" w:usb3="00000000" w:csb0="0000009B" w:csb1="00000000"/>
  </w:font>
  <w:font w:name="Arial">
    <w:charset w:val="0"/>
    <w:family w:val="swiss"/>
    <w:pitch w:val="variable"/>
    <w:sig w:usb0="E0002EFF" w:usb1="C000785B" w:usb2="00000009" w:usb3="00000000" w:csb0="000001FF" w:csb1="00000000"/>
  </w:font>
  <w:font w:name="Tahoma">
    <w:charset w:val="0"/>
    <w:family w:val="swiss"/>
    <w:pitch w:val="variable"/>
    <w:sig w:usb0="E1002EFF" w:usb1="C000605B" w:usb2="00000029" w:usb3="00000000" w:csb0="000101FF" w:csb1="00000000"/>
  </w:font>
  <w:font w:name="Calibri">
    <w:charset w:val="0"/>
    <w:family w:val="swiss"/>
    <w:pitch w:val="variable"/>
    <w:sig w:usb0="E4002EFF" w:usb1="C200247B" w:usb2="00000009" w:usb3="00000000" w:csb0="000001FF" w:csb1="00000000"/>
  </w:font>
  <w:font w:name="Cambria">
    <w:charset w:val="0"/>
    <w:family w:val="roman"/>
    <w:pitch w:val="variable"/>
    <w:sig w:usb0="E00006FF" w:usb1="420024FF" w:usb2="02000000" w:usb3="00000000" w:csb0="0000019F" w:csb1="00000000"/>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25C6BFD">
    <w:pPr>
      <w:pStyle w:val="Fuzeile"/>
      <w:pBdr>
        <w:top w:val="single" w:color="auto" w:sz="4" w:space="1"/>
      </w:pBdr>
      <w:tabs>
        <w:tab w:val="clear" w:pos="4536"/>
        <w:tab w:val="clear" w:pos="9072"/>
        <w:tab w:val="right" w:pos="9356"/>
      </w:tabs>
      <w:spacing/>
      <w:rPr>
        <w:sz w:val="8"/>
      </w:rPr>
    </w:pPr>
  </w:p>
  <w:p w14:paraId="5EA7AF69">
    <w:pPr>
      <w:pStyle w:val="Fuzeile"/>
      <w:pBdr>
        <w:top w:val="single" w:color="auto" w:sz="4" w:space="1"/>
      </w:pBdr>
      <w:tabs>
        <w:tab w:val="clear" w:pos="4536"/>
        <w:tab w:val="clear" w:pos="9072"/>
        <w:tab w:val="right" w:pos="9356"/>
      </w:tabs>
      <w:spacing/>
      <w:rPr>
        <w:sz w:val="16"/>
      </w:rPr>
    </w:pPr>
    <w:r>
      <w:rPr>
        <w:sz w:val="16"/>
      </w:rPr>
      <w:fldChar w:fldCharType="begin"/>
    </w:r>
    <w:r>
      <w:rPr>
        <w:sz w:val="16"/>
      </w:rPr>
      <w:instrText xml:space="preserve"> REF V_Dat \h  \* MERGEFORMAT </w:instrText>
    </w:r>
    <w:r>
      <w:rPr>
        <w:sz w:val="16"/>
      </w:rPr>
      <w:fldChar w:fldCharType="separate"/>
    </w:r>
    <w:r>
      <w:rPr>
        <w:sz w:val="16"/>
      </w:rPr>
      <w:t xml:space="preserve">Version 2.0 vom 31.03.2025</w:t>
    </w:r>
    <w:r>
      <w:rPr>
        <w:sz w:val="16"/>
      </w:rPr>
      <w:fldChar w:fldCharType="end"/>
    </w:r>
    <w:r>
      <w:rPr>
        <w:sz w:val="16"/>
      </w:rPr>
      <w:tab/>
      <w:t xml:space="preserve"/>
    </w: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 xml:space="preserve">7</w:t>
    </w:r>
    <w:r>
      <w:rPr>
        <w:rStyle w:val="Seitenzahl"/>
        <w:sz w:val="16"/>
      </w:rPr>
      <w:fldChar w:fldCharType="end"/>
    </w:r>
    <w:r>
      <w:rPr>
        <w:rStyle w:val="Seitenzahl"/>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noProof/>
        <w:sz w:val="16"/>
      </w:rPr>
      <w:t xml:space="preserve">7</w:t>
    </w:r>
    <w:r>
      <w:rPr>
        <w:rStyle w:val="Seitenzahl"/>
        <w:sz w:val="16"/>
      </w:rPr>
      <w:fldChar w:fldCharType="end"/>
    </w:r>
  </w:p>
</w:ft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9464" w:type="dxa"/>
      <w:tblLook w:val="04A0" w:firstRow="1" w:lastRow="0" w:firstColumn="1" w:lastColumn="0" w:noHBand="0" w:noVBand="1"/>
    </w:tblPr>
    <w:tblGrid>
      <w:gridCol w:w="5103"/>
      <w:gridCol w:w="2410"/>
      <w:gridCol w:w="1951"/>
    </w:tblGrid>
    <w:tr>
      <w:trPr>
        <w:trHeight w:val="714" w:hRule="atLeast"/>
      </w:trPr>
      <w:tc>
        <w:tcPr>
          <w:tcW w:type="dxa" w:w="5103"/>
          <w:tcBorders/>
          <w:vAlign w:val="bottom"/>
        </w:tcPr>
        <w:p>
          <w:pPr>
            <w:pStyle w:val="Untertitel"/>
            <w:spacing w:after="0"/>
            <w:rPr/>
          </w:pPr>
          <w:bookmarkStart w:id="3" w:name="_Hlk148879071"/>
          <w:r>
            <w:rPr>
              <w:noProof/>
            </w:rPr>
            <w:drawing>
              <wp:anchor distT="0" distB="0" distL="114300" distR="114300" simplePos="0" relativeHeight="251660288" behindDoc="0" locked="0" layoutInCell="1" allowOverlap="1">
                <wp:simplePos x="0" y="0"/>
                <wp:positionH relativeFrom="column">
                  <wp:posOffset>2409190</wp:posOffset>
                </wp:positionH>
                <wp:positionV relativeFrom="paragraph">
                  <wp:posOffset>127000</wp:posOffset>
                </wp:positionV>
                <wp:extent cx="1282700" cy="641350"/>
                <wp:effectExtent xmlns:wp="http://schemas.openxmlformats.org/drawingml/2006/wordprocessingDrawing" l="0" t="0" r="0" b="6350"/>
                <wp:wrapNone/>
                <wp:docPr id="3" name="Grafik 6"/>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6">
                          <a:biLevel thresh="75000"/>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pic:blipFill>
                      <pic:spPr bwMode="auto">
                        <a:xfrm>
                          <a:off x="0" y="0"/>
                          <a:ext cx="1282700" cy="641350"/>
                        </a:xfrm>
                        <a:prstGeom prst="rect">
                          <a:avLst/>
                        </a:prstGeom>
                      </pic:spPr>
                    </pic:pic>
                  </a:graphicData>
                </a:graphic>
              </wp:anchor>
            </w:drawing>
          </w:r>
          <w:r>
            <w:rPr>
              <w:noProof/>
              <w:lang w:eastAsia="de-CH"/>
            </w:rPr>
            <w:drawing>
              <wp:inline>
                <wp:extent cx="1371600" cy="905407"/>
                <wp:effectExtent xmlns:wp="http://schemas.openxmlformats.org/drawingml/2006/wordprocessingDrawing" l="0" t="0" r="0" b="0"/>
                <wp:docPr id="4" descr="C:\StadtBE\Logos\TVS-ohne-Abstand.png" name="Grafik 1096462828"/>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905407"/>
                        </a:xfrm>
                        <a:prstGeom prst="rect">
                          <a:avLst/>
                        </a:prstGeom>
                      </pic:spPr>
                    </pic:pic>
                  </a:graphicData>
                </a:graphic>
              </wp:inline>
            </w:drawing>
          </w:r>
        </w:p>
      </w:tc>
      <w:tc>
        <w:tcPr>
          <w:tcW w:type="dxa" w:w="2410"/>
          <w:tcBorders/>
        </w:tcPr>
        <w:p>
          <w:pPr>
            <w:pStyle w:val="Kopfzeile"/>
            <w:spacing/>
            <w:rPr/>
          </w:pPr>
        </w:p>
      </w:tc>
      <w:tc>
        <w:tcPr>
          <w:tcW w:type="dxa" w:w="1951"/>
          <w:tcBorders/>
        </w:tcPr>
        <w:p>
          <w:pPr>
            <w:pStyle w:val="Kopfzeile"/>
            <w:spacing/>
            <w:rPr/>
          </w:pPr>
          <w:bookmarkStart w:id="4" w:name="_Hlk148879324"/>
        </w:p>
        <w:p>
          <w:pPr>
            <w:pStyle w:val="Kopfzeile"/>
            <w:spacing/>
            <w:rPr/>
          </w:pPr>
          <w:r>
            <w:rPr>
              <w:noProof/>
              <w:lang w:eastAsia="de-CH"/>
            </w:rPr>
            <w:drawing>
              <wp:anchor distT="0" distB="0" distL="114300" distR="114300" simplePos="0" relativeHeight="251659264" behindDoc="1" locked="0" layoutInCell="1" allowOverlap="1">
                <wp:simplePos x="0" y="0"/>
                <wp:positionH relativeFrom="column">
                  <wp:posOffset>123063</wp:posOffset>
                </wp:positionH>
                <wp:positionV relativeFrom="paragraph">
                  <wp:posOffset>134493</wp:posOffset>
                </wp:positionV>
                <wp:extent cx="1141466" cy="215371"/>
                <wp:effectExtent xmlns:wp="http://schemas.openxmlformats.org/drawingml/2006/wordprocessingDrawing" l="0" t="0" r="1905" b="0"/>
                <wp:wrapNone/>
                <wp:docPr id="5" descr="Ein Bild, das Text, Schrift, Screenshot, Grafiken enthält.&#10;&#10;Automatisch generierte Beschreibung" name="Grafik 307412707"/>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9">
                          <a:extLst>
                            <a:ext uri="{BEBA8EAE-BF5A-486C-A8C5-ECC9F3942E4B}">
                              <a14:imgProps xmlns:a14="http://schemas.microsoft.com/office/drawing/2010/main">
                                <a14:imgLayer r:embed="rId9">
                                  <a14:imgEffect>
                                    <a14:sharpenSoften amount="-50000"/>
                                  </a14:imgEffect>
                                  <a14:imgEffect>
                                    <a14:colorTemperature colorTemp="6500"/>
                                  </a14:imgEffect>
                                  <a14:imgEffect>
                                    <a14:saturation sat="100000"/>
                                  </a14:imgEffect>
                                </a14:imgLayer>
                              </a14:imgProps>
                            </a:ext>
                            <a:ext uri="{28A0092B-C50C-407E-A947-70E740481C1C}">
                              <a14:useLocalDpi xmlns:a14="http://schemas.microsoft.com/office/drawing/2010/main" val="0"/>
                            </a:ext>
                          </a:extLst>
                        </a:blip>
                        <a:srcRect/>
                        <a:stretch>
                          <a:fillRect/>
                        </a:stretch>
                      </pic:blipFill>
                      <pic:spPr bwMode="auto">
                        <a:xfrm>
                          <a:off x="0" y="0"/>
                          <a:ext cx="1141466" cy="215371"/>
                        </a:xfrm>
                        <a:prstGeom prst="rect">
                          <a:avLst/>
                        </a:prstGeom>
                      </pic:spPr>
                    </pic:pic>
                  </a:graphicData>
                </a:graphic>
              </wp:anchor>
            </w:drawing>
          </w:r>
        </w:p>
        <w:bookmarkEnd w:id="4"/>
        <w:p>
          <w:pPr>
            <w:pStyle w:val="Kopfzeile"/>
            <w:spacing/>
            <w:ind w:firstLine="709"/>
            <w:rPr/>
          </w:pPr>
        </w:p>
      </w:tc>
    </w:tr>
    <w:bookmarkEnd w:id="3"/>
  </w:tbl>
  <w:p w14:paraId="783A5B9D">
    <w:pPr>
      <w:pStyle w:val="Kopfzeile"/>
      <w:spacing/>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063504C">
    <w:pPr>
      <w:pStyle w:val="Kopfzeile"/>
      <w:spacing/>
      <w:jc w:val="right"/>
      <w:rPr>
        <w:sz w:val="20"/>
      </w:rPr>
    </w:pPr>
    <w:r>
      <w:rPr>
        <w:sz w:val="20"/>
      </w:rPr>
      <w:t xml:space="preserve">Ausschreibung Bauarbeiten</w:t>
    </w:r>
  </w:p>
  <w:p w14:paraId="2136FF0F">
    <w:pPr>
      <w:pStyle w:val="Kopfzeile"/>
      <w:spacing/>
      <w:jc w:val="right"/>
      <w:rPr>
        <w:sz w:val="20"/>
      </w:rPr>
    </w:pPr>
    <w:bookmarkStart w:id="5" w:name="_Hlk161308407"/>
    <w:r>
      <w:rPr>
        <w:sz w:val="20"/>
      </w:rPr>
      <w:t xml:space="preserve">Projekt: </w:t>
    </w:r>
    <w:r>
      <w:rPr>
        <w:sz w:val="20"/>
      </w:rPr>
      <w:fldChar w:fldCharType="begin"/>
    </w:r>
    <w:r>
      <w:rPr>
        <w:sz w:val="20"/>
      </w:rPr>
      <w:instrText xml:space="preserve">  </w:instrText>
    </w:r>
    <w:r>
      <w:rPr>
        <w:sz w:val="20"/>
      </w:rPr>
      <w:fldChar w:fldCharType="end"/>
    </w:r>
    <w:r>
      <w:rPr>
        <w:i/>
        <w:vanish/>
        <w:color w:val="FF0000"/>
        <w:sz w:val="20"/>
      </w:rPr>
      <w:t xml:space="preserve"> </w:t>
    </w:r>
    <w:r>
      <w:rPr>
        <w:i/>
        <w:color w:val="FF0000"/>
        <w:sz w:val="20"/>
      </w:rPr>
      <w:t xml:space="preserve">Projektbezeichnung</w:t>
    </w:r>
  </w:p>
  <w:p w14:paraId="2D0C6700">
    <w:pPr>
      <w:pStyle w:val="Kopfzeile"/>
      <w:spacing/>
      <w:jc w:val="right"/>
      <w:rPr>
        <w:sz w:val="20"/>
      </w:rPr>
    </w:pPr>
    <w:bookmarkEnd w:id="5"/>
    <w:r>
      <w:rPr>
        <w:sz w:val="20"/>
      </w:rPr>
      <w:t xml:space="preserve">Dokument </w:t>
    </w:r>
    <w:r>
      <w:rPr>
        <w:sz w:val="20"/>
      </w:rPr>
      <w:t xml:space="preserve">C</w:t>
    </w:r>
    <w:r>
      <w:rPr>
        <w:sz w:val="20"/>
      </w:rPr>
      <w:t xml:space="preserve">8</w:t>
    </w:r>
  </w:p>
  <w:p w14:paraId="4FD83A59">
    <w:pPr>
      <w:pStyle w:val="Kopfzeile"/>
      <w:pBdr>
        <w:bottom w:val="single" w:color="auto" w:sz="4" w:space="1"/>
      </w:pBdr>
      <w:spacing/>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suff w:val="tab"/>
      <w:lvlText w:val=""/>
      <w:pPr>
        <w:tabs>
          <w:tab w:val="num" w:pos="360"/>
        </w:tabs>
        <w:spacing/>
        <w:ind w:left="360"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pStyle w:val="berschrift4"/>
      <w:suff w:val="tab"/>
      <w:lvlText w:val=""/>
      <w:pPr>
        <w:spacing/>
      </w:pPr>
      <w:rPr/>
    </w:lvl>
    <w:lvl w:ilvl="4">
      <w:start w:val="0"/>
      <w:numFmt w:val="decimal"/>
      <w:pStyle w:val="berschrift5"/>
      <w:suff w:val="tab"/>
      <w:lvlText w:val=""/>
      <w:pPr>
        <w:spacing/>
      </w:pPr>
      <w:rPr/>
    </w:lvl>
    <w:lvl w:ilvl="5">
      <w:start w:val="0"/>
      <w:numFmt w:val="decimal"/>
      <w:pStyle w:val="berschrift6"/>
      <w:suff w:val="tab"/>
      <w:lvlText w:val=""/>
      <w:pPr>
        <w:spacing/>
      </w:pPr>
      <w:rPr/>
    </w:lvl>
    <w:lvl w:ilvl="6">
      <w:start w:val="0"/>
      <w:numFmt w:val="decimal"/>
      <w:pStyle w:val="berschrift7"/>
      <w:suff w:val="tab"/>
      <w:lvlText w:val=""/>
      <w:pPr>
        <w:spacing/>
      </w:pPr>
      <w:rPr/>
    </w:lvl>
    <w:lvl w:ilvl="7">
      <w:start w:val="0"/>
      <w:numFmt w:val="decimal"/>
      <w:pStyle w:val="berschrift8"/>
      <w:suff w:val="tab"/>
      <w:lvlText w:val=""/>
      <w:pPr>
        <w:spacing/>
      </w:pPr>
      <w:rPr/>
    </w:lvl>
    <w:lvl w:ilvl="8">
      <w:start w:val="0"/>
      <w:numFmt w:val="decimal"/>
      <w:pStyle w:val="berschrift9"/>
      <w:suff w:val="tab"/>
      <w:lvlText w:val=""/>
      <w:pPr>
        <w:spacing/>
      </w:pPr>
      <w:rPr/>
    </w:lvl>
  </w:abstractNum>
  <w:abstractNum w:abstractNumId="1">
    <w:nsid w:val="FFFFFFFB"/>
    <w:lvl w:ilvl="0">
      <w:start w:val="1"/>
      <w:numFmt w:val="decimal"/>
      <w:suff w:val="tab"/>
      <w:lvlText w:val="%1"/>
      <w:pPr>
        <w:spacing/>
        <w:ind w:left="709" w:hanging="709"/>
      </w:pPr>
      <w:rPr>
        <w:rFonts w:hint="default"/>
      </w:rPr>
    </w:lvl>
    <w:lvl w:ilvl="1">
      <w:start w:val="1"/>
      <w:numFmt w:val="upperLetter"/>
      <w:suff w:val="tab"/>
      <w:lvlText w:val="%1 %2"/>
      <w:pPr>
        <w:spacing/>
        <w:ind w:left="709" w:hanging="709"/>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864" w:hanging="864"/>
      </w:pPr>
      <w:rPr>
        <w:rFonts w:hint="default"/>
      </w:rPr>
    </w:lvl>
    <w:lvl w:ilvl="4">
      <w:start w:val="1"/>
      <w:numFmt w:val="decimal"/>
      <w:suff w:val="tab"/>
      <w:lvlText w:val="%1.%2.%3.%4.%5"/>
      <w:pPr>
        <w:spacing/>
        <w:ind w:left="1008" w:hanging="1008"/>
      </w:pPr>
      <w:rPr>
        <w:rFonts w:hint="default"/>
      </w:rPr>
    </w:lvl>
    <w:lvl w:ilvl="5">
      <w:start w:val="1"/>
      <w:numFmt w:val="decimal"/>
      <w:suff w:val="tab"/>
      <w:lvlText w:val="%1.%2.%3.%4.%5.%6"/>
      <w:pPr>
        <w:spacing/>
        <w:ind w:left="1152" w:hanging="1152"/>
      </w:pPr>
      <w:rPr>
        <w:rFonts w:hint="default"/>
      </w:rPr>
    </w:lvl>
    <w:lvl w:ilvl="6">
      <w:start w:val="1"/>
      <w:numFmt w:val="decimal"/>
      <w:suff w:val="tab"/>
      <w:lvlText w:val="%1.%2.%3.%4.%5.%6.%7"/>
      <w:pPr>
        <w:spacing/>
        <w:ind w:left="1296" w:hanging="1296"/>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584" w:hanging="1584"/>
      </w:pPr>
      <w:rPr>
        <w:rFonts w:hint="default"/>
      </w:rPr>
    </w:lvl>
  </w:abstractNum>
  <w:abstractNum w:abstractNumId="2">
    <w:nsid w:val="37AE3F4C"/>
    <w:lvl w:ilvl="0">
      <w:start w:val="1"/>
      <w:numFmt w:val="bullet"/>
      <w:suff w:val="tab"/>
      <w:lvlText w:val=""/>
      <w:pPr>
        <w:spacing/>
        <w:ind w:left="1349" w:hanging="360"/>
      </w:pPr>
      <w:rPr>
        <w:rFonts w:ascii="Wingdings" w:hAnsi="Wingdings" w:hint="default"/>
      </w:rPr>
    </w:lvl>
    <w:lvl w:ilvl="1">
      <w:start w:val="1"/>
      <w:numFmt w:val="bullet"/>
      <w:suff w:val="tab"/>
      <w:lvlText w:val="o"/>
      <w:pPr>
        <w:spacing/>
        <w:ind w:left="2069" w:hanging="360"/>
      </w:pPr>
      <w:rPr>
        <w:rFonts w:ascii="Courier New" w:hAnsi="Courier New" w:cs="Courier New" w:hint="default"/>
      </w:rPr>
    </w:lvl>
    <w:lvl w:ilvl="2">
      <w:start w:val="1"/>
      <w:numFmt w:val="bullet"/>
      <w:suff w:val="tab"/>
      <w:lvlText w:val=""/>
      <w:pPr>
        <w:spacing/>
        <w:ind w:left="2789" w:hanging="360"/>
      </w:pPr>
      <w:rPr>
        <w:rFonts w:ascii="Wingdings" w:hAnsi="Wingdings" w:hint="default"/>
      </w:rPr>
    </w:lvl>
    <w:lvl w:ilvl="3">
      <w:start w:val="1"/>
      <w:numFmt w:val="bullet"/>
      <w:suff w:val="tab"/>
      <w:lvlText w:val=""/>
      <w:pPr>
        <w:spacing/>
        <w:ind w:left="3509" w:hanging="360"/>
      </w:pPr>
      <w:rPr>
        <w:rFonts w:ascii="Symbol" w:hAnsi="Symbol" w:hint="default"/>
      </w:rPr>
    </w:lvl>
    <w:lvl w:ilvl="4">
      <w:start w:val="1"/>
      <w:numFmt w:val="bullet"/>
      <w:suff w:val="tab"/>
      <w:lvlText w:val="o"/>
      <w:pPr>
        <w:spacing/>
        <w:ind w:left="4229" w:hanging="360"/>
      </w:pPr>
      <w:rPr>
        <w:rFonts w:ascii="Courier New" w:hAnsi="Courier New" w:cs="Courier New" w:hint="default"/>
      </w:rPr>
    </w:lvl>
    <w:lvl w:ilvl="5">
      <w:start w:val="1"/>
      <w:numFmt w:val="bullet"/>
      <w:suff w:val="tab"/>
      <w:lvlText w:val=""/>
      <w:pPr>
        <w:spacing/>
        <w:ind w:left="4949" w:hanging="360"/>
      </w:pPr>
      <w:rPr>
        <w:rFonts w:ascii="Wingdings" w:hAnsi="Wingdings" w:hint="default"/>
      </w:rPr>
    </w:lvl>
    <w:lvl w:ilvl="6">
      <w:start w:val="1"/>
      <w:numFmt w:val="bullet"/>
      <w:suff w:val="tab"/>
      <w:lvlText w:val=""/>
      <w:pPr>
        <w:spacing/>
        <w:ind w:left="5669" w:hanging="360"/>
      </w:pPr>
      <w:rPr>
        <w:rFonts w:ascii="Symbol" w:hAnsi="Symbol" w:hint="default"/>
      </w:rPr>
    </w:lvl>
    <w:lvl w:ilvl="7">
      <w:start w:val="1"/>
      <w:numFmt w:val="bullet"/>
      <w:suff w:val="tab"/>
      <w:lvlText w:val="o"/>
      <w:pPr>
        <w:spacing/>
        <w:ind w:left="6389" w:hanging="360"/>
      </w:pPr>
      <w:rPr>
        <w:rFonts w:ascii="Courier New" w:hAnsi="Courier New" w:cs="Courier New" w:hint="default"/>
      </w:rPr>
    </w:lvl>
    <w:lvl w:ilvl="8">
      <w:start w:val="1"/>
      <w:numFmt w:val="bullet"/>
      <w:suff w:val="tab"/>
      <w:lvlText w:val=""/>
      <w:pPr>
        <w:spacing/>
        <w:ind w:left="7109" w:hanging="360"/>
      </w:pPr>
      <w:rPr>
        <w:rFonts w:ascii="Wingdings" w:hAnsi="Wingdings" w:hint="default"/>
      </w:rPr>
    </w:lvl>
  </w:abstractNum>
  <w:abstractNum w:abstractNumId="3">
    <w:nsid w:val="3F7A756A"/>
    <w:lvl w:ilvl="0">
      <w:start w:val="1"/>
      <w:numFmt w:val="decimal"/>
      <w:pStyle w:val="ListemitZahlen"/>
      <w:suff w:val="tab"/>
      <w:lvlText w:val="%1."/>
      <w:pPr>
        <w:tabs>
          <w:tab w:val="num" w:pos="425"/>
        </w:tabs>
        <w:spacing/>
        <w:ind w:left="425" w:hanging="425"/>
      </w:pPr>
      <w:rPr>
        <w:rFonts w:hint="default"/>
      </w:rPr>
    </w:lvl>
    <w:lvl w:ilvl="1">
      <w:start w:val="1"/>
      <w:numFmt w:val="decimal"/>
      <w:suff w:val="tab"/>
      <w:lvlText w:val="%2."/>
      <w:pPr>
        <w:tabs>
          <w:tab w:val="num" w:pos="851"/>
        </w:tabs>
        <w:spacing/>
        <w:ind w:left="851" w:hanging="426"/>
      </w:pPr>
      <w:rPr>
        <w:rFonts w:hint="default"/>
      </w:rPr>
    </w:lvl>
    <w:lvl w:ilvl="2">
      <w:start w:val="1"/>
      <w:numFmt w:val="decimal"/>
      <w:suff w:val="tab"/>
      <w:lvlText w:val="%3."/>
      <w:pPr>
        <w:tabs>
          <w:tab w:val="num" w:pos="1276"/>
        </w:tabs>
        <w:spacing/>
        <w:ind w:left="1276" w:hanging="425"/>
      </w:pPr>
      <w:rPr>
        <w:rFonts w:hint="default"/>
      </w:rPr>
    </w:lvl>
    <w:lvl w:ilvl="3">
      <w:start w:val="1"/>
      <w:numFmt w:val="decimal"/>
      <w:suff w:val="tab"/>
      <w:lvlText w:val="%4."/>
      <w:pPr>
        <w:tabs>
          <w:tab w:val="num" w:pos="1701"/>
        </w:tabs>
        <w:spacing/>
        <w:ind w:left="1701" w:hanging="425"/>
      </w:pPr>
      <w:rPr>
        <w:rFonts w:hint="default"/>
      </w:rPr>
    </w:lvl>
    <w:lvl w:ilvl="4">
      <w:start w:val="1"/>
      <w:numFmt w:val="decimal"/>
      <w:suff w:val="tab"/>
      <w:lvlText w:val="%5."/>
      <w:pPr>
        <w:tabs>
          <w:tab w:val="num" w:pos="2126"/>
        </w:tabs>
        <w:spacing/>
        <w:ind w:left="2126" w:hanging="425"/>
      </w:pPr>
      <w:rPr>
        <w:rFonts w:hint="default"/>
      </w:rPr>
    </w:lvl>
    <w:lvl w:ilvl="5">
      <w:start w:val="1"/>
      <w:numFmt w:val="decimal"/>
      <w:suff w:val="tab"/>
      <w:lvlText w:val="%6."/>
      <w:pPr>
        <w:tabs>
          <w:tab w:val="num" w:pos="2552"/>
        </w:tabs>
        <w:spacing/>
        <w:ind w:left="2552" w:hanging="426"/>
      </w:pPr>
      <w:rPr>
        <w:rFonts w:hint="default"/>
      </w:rPr>
    </w:lvl>
    <w:lvl w:ilvl="6">
      <w:start w:val="1"/>
      <w:numFmt w:val="decimal"/>
      <w:suff w:val="tab"/>
      <w:lvlText w:val="%7."/>
      <w:pPr>
        <w:tabs>
          <w:tab w:val="num" w:pos="2977"/>
        </w:tabs>
        <w:spacing/>
        <w:ind w:left="2977" w:hanging="425"/>
      </w:pPr>
      <w:rPr>
        <w:rFonts w:hint="default"/>
      </w:rPr>
    </w:lvl>
    <w:lvl w:ilvl="7">
      <w:start w:val="1"/>
      <w:numFmt w:val="decimal"/>
      <w:suff w:val="tab"/>
      <w:lvlText w:val="%8."/>
      <w:pPr>
        <w:tabs>
          <w:tab w:val="num" w:pos="3402"/>
        </w:tabs>
        <w:spacing/>
        <w:ind w:left="3402" w:hanging="425"/>
      </w:pPr>
      <w:rPr>
        <w:rFonts w:hint="default"/>
      </w:rPr>
    </w:lvl>
    <w:lvl w:ilvl="8">
      <w:start w:val="1"/>
      <w:numFmt w:val="decimal"/>
      <w:suff w:val="tab"/>
      <w:lvlText w:val="%9."/>
      <w:pPr>
        <w:tabs>
          <w:tab w:val="num" w:pos="3827"/>
        </w:tabs>
        <w:spacing/>
        <w:ind w:left="3827" w:hanging="425"/>
      </w:pPr>
      <w:rPr>
        <w:rFonts w:hint="default"/>
      </w:rPr>
    </w:lvl>
  </w:abstractNum>
  <w:abstractNum w:abstractNumId="4">
    <w:nsid w:val="41063273"/>
    <w:lvl w:ilvl="0">
      <w:start w:val="1"/>
      <w:numFmt w:val="bullet"/>
      <w:suff w:val="tab"/>
      <w:lvlText w:val="–"/>
      <w:pPr>
        <w:spacing/>
        <w:ind w:left="1429" w:hanging="360"/>
      </w:pPr>
      <w:rPr>
        <w:rFonts w:ascii="Frutiger LT Com 55 Roman" w:hAnsi="Frutiger LT Com 55 Roman"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5">
    <w:nsid w:val="48477CCA"/>
    <w:lvl w:ilvl="0">
      <w:start w:val="1"/>
      <w:numFmt w:val="bullet"/>
      <w:pStyle w:val="Bulleted"/>
      <w:suff w:val="tab"/>
      <w:lvlText w:val="Z"/>
      <w:pPr>
        <w:tabs>
          <w:tab w:val="num" w:pos="1276"/>
        </w:tabs>
        <w:spacing/>
        <w:ind w:left="1276" w:hanging="567"/>
      </w:pPr>
      <w:rPr>
        <w:rFonts w:ascii="Arial" w:hAnsi="Arial" w:hint="default"/>
        <w:sz w:val="22"/>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6">
    <w:nsid w:val="50692363"/>
    <w:lvl w:ilvl="0">
      <w:start w:val="1"/>
      <w:numFmt w:val="bullet"/>
      <w:suff w:val="tab"/>
      <w:lvlText w:val=""/>
      <w:pPr>
        <w:spacing/>
        <w:ind w:left="1429" w:hanging="360"/>
      </w:pPr>
      <w:rPr>
        <w:rFonts w:ascii="Symbol" w:hAnsi="Symbol"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7">
    <w:nsid w:val="5975217B"/>
    <w:lvl w:ilvl="0">
      <w:start w:val="1"/>
      <w:numFmt w:val="bullet"/>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8">
    <w:nsid w:val="6603465F"/>
    <w:lvl w:ilvl="0">
      <w:start w:val="1"/>
      <w:numFmt w:val="bullet"/>
      <w:pStyle w:val="CISPunktEinzug"/>
      <w:suff w:val="tab"/>
      <w:lvlText w:val="•"/>
      <w:pPr>
        <w:tabs>
          <w:tab w:val="num" w:pos="737"/>
        </w:tabs>
        <w:spacing/>
        <w:ind w:left="737" w:hanging="368"/>
      </w:pPr>
      <w:rPr>
        <w:rFonts w:ascii="Frutiger LT Com 55 Roman" w:hAnsi="Frutiger LT Com 55 Roman" w:hint="default"/>
        <w:w w:val="100"/>
      </w:rPr>
    </w:lvl>
    <w:lvl w:ilvl="1">
      <w:start w:val="1"/>
      <w:numFmt w:val="bullet"/>
      <w:suff w:val="tab"/>
      <w:lvlText w:val="o"/>
      <w:pPr>
        <w:tabs>
          <w:tab w:val="num" w:pos="0"/>
        </w:tabs>
        <w:spacing/>
        <w:ind w:left="1440" w:hanging="360"/>
      </w:pPr>
      <w:rPr>
        <w:rFonts w:ascii="Courier New" w:hAnsi="Courier New" w:hint="default"/>
      </w:rPr>
    </w:lvl>
    <w:lvl w:ilvl="2">
      <w:start w:val="1"/>
      <w:numFmt w:val="bullet"/>
      <w:suff w:val="tab"/>
      <w:lvlText w:val=""/>
      <w:pPr>
        <w:tabs>
          <w:tab w:val="num" w:pos="0"/>
        </w:tabs>
        <w:spacing/>
        <w:ind w:left="2160" w:hanging="360"/>
      </w:pPr>
      <w:rPr>
        <w:rFonts w:ascii="Wingdings" w:hAnsi="Wingdings" w:hint="default"/>
      </w:rPr>
    </w:lvl>
    <w:lvl w:ilvl="3">
      <w:start w:val="1"/>
      <w:numFmt w:val="bullet"/>
      <w:suff w:val="tab"/>
      <w:lvlText w:val=""/>
      <w:pPr>
        <w:tabs>
          <w:tab w:val="num" w:pos="0"/>
        </w:tabs>
        <w:spacing/>
        <w:ind w:left="2880" w:hanging="360"/>
      </w:pPr>
      <w:rPr>
        <w:rFonts w:ascii="Symbol" w:hAnsi="Symbol" w:hint="default"/>
      </w:rPr>
    </w:lvl>
    <w:lvl w:ilvl="4">
      <w:start w:val="1"/>
      <w:numFmt w:val="bullet"/>
      <w:suff w:val="tab"/>
      <w:lvlText w:val="o"/>
      <w:pPr>
        <w:tabs>
          <w:tab w:val="num" w:pos="0"/>
        </w:tabs>
        <w:spacing/>
        <w:ind w:left="3600" w:hanging="360"/>
      </w:pPr>
      <w:rPr>
        <w:rFonts w:ascii="Courier New" w:hAnsi="Courier New" w:hint="default"/>
      </w:rPr>
    </w:lvl>
    <w:lvl w:ilvl="5">
      <w:start w:val="1"/>
      <w:numFmt w:val="bullet"/>
      <w:suff w:val="tab"/>
      <w:lvlText w:val=""/>
      <w:pPr>
        <w:tabs>
          <w:tab w:val="num" w:pos="0"/>
        </w:tabs>
        <w:spacing/>
        <w:ind w:left="4320" w:hanging="360"/>
      </w:pPr>
      <w:rPr>
        <w:rFonts w:ascii="Wingdings" w:hAnsi="Wingdings" w:hint="default"/>
      </w:rPr>
    </w:lvl>
    <w:lvl w:ilvl="6">
      <w:start w:val="1"/>
      <w:numFmt w:val="bullet"/>
      <w:suff w:val="tab"/>
      <w:lvlText w:val=""/>
      <w:pPr>
        <w:tabs>
          <w:tab w:val="num" w:pos="0"/>
        </w:tabs>
        <w:spacing/>
        <w:ind w:left="5040" w:hanging="360"/>
      </w:pPr>
      <w:rPr>
        <w:rFonts w:ascii="Symbol" w:hAnsi="Symbol" w:hint="default"/>
      </w:rPr>
    </w:lvl>
    <w:lvl w:ilvl="7">
      <w:start w:val="1"/>
      <w:numFmt w:val="bullet"/>
      <w:suff w:val="tab"/>
      <w:lvlText w:val="o"/>
      <w:pPr>
        <w:tabs>
          <w:tab w:val="num" w:pos="0"/>
        </w:tabs>
        <w:spacing/>
        <w:ind w:left="5760" w:hanging="360"/>
      </w:pPr>
      <w:rPr>
        <w:rFonts w:ascii="Courier New" w:hAnsi="Courier New" w:hint="default"/>
      </w:rPr>
    </w:lvl>
    <w:lvl w:ilvl="8">
      <w:start w:val="1"/>
      <w:numFmt w:val="bullet"/>
      <w:suff w:val="tab"/>
      <w:lvlText w:val=""/>
      <w:pPr>
        <w:tabs>
          <w:tab w:val="num" w:pos="0"/>
        </w:tabs>
        <w:spacing/>
        <w:ind w:left="6480" w:hanging="360"/>
      </w:pPr>
      <w:rPr>
        <w:rFonts w:ascii="Wingdings" w:hAnsi="Wingdings" w:hint="default"/>
      </w:rPr>
    </w:lvl>
  </w:abstractNum>
  <w:abstractNum w:abstractNumId="9">
    <w:nsid w:val="6B1D1447"/>
    <w:lvl w:ilvl="0">
      <w:start w:val="1"/>
      <w:numFmt w:val="bullet"/>
      <w:suff w:val="tab"/>
      <w:lvlText w:val="-"/>
      <w:pPr>
        <w:spacing/>
        <w:ind w:left="1571" w:hanging="360"/>
      </w:pPr>
      <w:rPr>
        <w:rFonts w:ascii="Courier New" w:hAnsi="Courier New" w:cs="Times New Roman" w:hint="default"/>
      </w:rPr>
    </w:lvl>
    <w:lvl w:ilvl="1">
      <w:start w:val="1"/>
      <w:numFmt w:val="bullet"/>
      <w:suff w:val="tab"/>
      <w:lvlText w:val="o"/>
      <w:pPr>
        <w:spacing/>
        <w:ind w:left="2291" w:hanging="360"/>
      </w:pPr>
      <w:rPr>
        <w:rFonts w:ascii="Courier New" w:hAnsi="Courier New" w:cs="Courier New" w:hint="default"/>
      </w:rPr>
    </w:lvl>
    <w:lvl w:ilvl="2">
      <w:start w:val="1"/>
      <w:numFmt w:val="bullet"/>
      <w:suff w:val="tab"/>
      <w:lvlText w:val=""/>
      <w:pPr>
        <w:spacing/>
        <w:ind w:left="3011" w:hanging="360"/>
      </w:pPr>
      <w:rPr>
        <w:rFonts w:ascii="Wingdings" w:hAnsi="Wingdings" w:hint="default"/>
      </w:rPr>
    </w:lvl>
    <w:lvl w:ilvl="3">
      <w:start w:val="1"/>
      <w:numFmt w:val="bullet"/>
      <w:suff w:val="tab"/>
      <w:lvlText w:val=""/>
      <w:pPr>
        <w:spacing/>
        <w:ind w:left="3731" w:hanging="360"/>
      </w:pPr>
      <w:rPr>
        <w:rFonts w:ascii="Symbol" w:hAnsi="Symbol" w:hint="default"/>
      </w:rPr>
    </w:lvl>
    <w:lvl w:ilvl="4">
      <w:start w:val="1"/>
      <w:numFmt w:val="bullet"/>
      <w:suff w:val="tab"/>
      <w:lvlText w:val="o"/>
      <w:pPr>
        <w:spacing/>
        <w:ind w:left="4451" w:hanging="360"/>
      </w:pPr>
      <w:rPr>
        <w:rFonts w:ascii="Courier New" w:hAnsi="Courier New" w:cs="Courier New" w:hint="default"/>
      </w:rPr>
    </w:lvl>
    <w:lvl w:ilvl="5">
      <w:start w:val="1"/>
      <w:numFmt w:val="bullet"/>
      <w:suff w:val="tab"/>
      <w:lvlText w:val=""/>
      <w:pPr>
        <w:spacing/>
        <w:ind w:left="5171" w:hanging="360"/>
      </w:pPr>
      <w:rPr>
        <w:rFonts w:ascii="Wingdings" w:hAnsi="Wingdings" w:hint="default"/>
      </w:rPr>
    </w:lvl>
    <w:lvl w:ilvl="6">
      <w:start w:val="1"/>
      <w:numFmt w:val="bullet"/>
      <w:suff w:val="tab"/>
      <w:lvlText w:val=""/>
      <w:pPr>
        <w:spacing/>
        <w:ind w:left="5891" w:hanging="360"/>
      </w:pPr>
      <w:rPr>
        <w:rFonts w:ascii="Symbol" w:hAnsi="Symbol" w:hint="default"/>
      </w:rPr>
    </w:lvl>
    <w:lvl w:ilvl="7">
      <w:start w:val="1"/>
      <w:numFmt w:val="bullet"/>
      <w:suff w:val="tab"/>
      <w:lvlText w:val="o"/>
      <w:pPr>
        <w:spacing/>
        <w:ind w:left="6611" w:hanging="360"/>
      </w:pPr>
      <w:rPr>
        <w:rFonts w:ascii="Courier New" w:hAnsi="Courier New" w:cs="Courier New" w:hint="default"/>
      </w:rPr>
    </w:lvl>
    <w:lvl w:ilvl="8">
      <w:start w:val="1"/>
      <w:numFmt w:val="bullet"/>
      <w:suff w:val="tab"/>
      <w:lvlText w:val=""/>
      <w:pPr>
        <w:spacing/>
        <w:ind w:left="7331"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efaultTabStop w:val="709"/>
  <w:autoHyphenation/>
  <w:hyphenationZone w:val="284"/>
  <w:doNotHyphenateCaps/>
  <w:drawingGridHorizontalSpacing xmlns:w="http://schemas.openxmlformats.org/wordprocessingml/2006/main" w:val="0"/>
  <w:drawingGridVerticalSpacing xmlns:w="http://schemas.openxmlformats.org/wordprocessingml/2006/main" w:val="0"/>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drawingGridHorizontalOrigin xmlns:w="http://schemas.openxmlformats.org/wordprocessingml/2006/main" w:val="0"/>
  <w:drawingGridVerticalOrigin xmlns:w="http://schemas.openxmlformats.org/wordprocessingml/2006/main" w:val="0"/>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CH"/>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de-CH"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rFonts w:ascii="Arial" w:hAnsi="Arial"/>
      <w:sz w:val="22"/>
      <w:lang w:eastAsia="de-DE"/>
    </w:rPr>
  </w:style>
  <w:style w:type="paragraph" w:styleId="berschrift1">
    <w:name w:val="Heading 1"/>
    <w:basedOn w:val="Standard"/>
    <w:next w:val="Standard"/>
    <w:qFormat/>
    <w:pPr>
      <w:keepNext/>
      <w:tabs>
        <w:tab w:val="left" w:pos="709"/>
      </w:tabs>
      <w:spacing w:before="480" w:after="480"/>
      <w:outlineLvl w:val="0"/>
    </w:pPr>
    <w:rPr>
      <w:b/>
      <w:sz w:val="28"/>
    </w:rPr>
  </w:style>
  <w:style w:type="paragraph" w:styleId="berschrift2">
    <w:name w:val="Heading 2"/>
    <w:basedOn w:val="Standard"/>
    <w:next w:val="Standard"/>
    <w:qFormat/>
    <w:pPr>
      <w:keepNext/>
      <w:tabs>
        <w:tab w:val="left" w:pos="709"/>
      </w:tabs>
      <w:spacing w:before="480" w:after="240"/>
      <w:outlineLvl w:val="1"/>
    </w:pPr>
    <w:rPr>
      <w:b/>
      <w:sz w:val="24"/>
    </w:rPr>
  </w:style>
  <w:style w:type="paragraph" w:styleId="berschrift3">
    <w:name w:val="Heading 3"/>
    <w:basedOn w:val="Standard"/>
    <w:next w:val="Standard"/>
    <w:link w:val="Überschrift3Zchn"/>
    <w:qFormat/>
    <w:pPr>
      <w:keepNext/>
      <w:tabs>
        <w:tab w:val="left" w:pos="720"/>
      </w:tabs>
      <w:spacing w:before="240" w:after="120"/>
      <w:outlineLvl w:val="2"/>
    </w:pPr>
    <w:rPr>
      <w:b/>
    </w:rPr>
  </w:style>
  <w:style w:type="paragraph" w:styleId="berschrift4">
    <w:name w:val="Heading 4"/>
    <w:basedOn w:val="Standard"/>
    <w:next w:val="Standard"/>
    <w:qFormat/>
    <w:numPr>
      <w:ilvl w:val="3"/>
      <w:numId w:val="1"/>
    </w:numPr>
    <w:pPr>
      <w:keepNext/>
      <w:numPr>
        <w:ilvl w:val="3"/>
        <w:numId w:val="1"/>
      </w:numPr>
      <w:tabs>
        <w:tab w:val="clear" w:pos="360"/>
        <w:tab w:val="left" w:pos="864"/>
      </w:tabs>
      <w:spacing w:before="240" w:after="60"/>
      <w:ind w:left="864" w:hanging="864"/>
      <w:outlineLvl w:val="3"/>
    </w:pPr>
    <w:rPr>
      <w:rFonts w:ascii="Times New Roman" w:hAnsi="Times New Roman"/>
      <w:b/>
      <w:sz w:val="28"/>
    </w:rPr>
  </w:style>
  <w:style w:type="paragraph" w:styleId="berschrift5">
    <w:name w:val="Heading 5"/>
    <w:basedOn w:val="Standard"/>
    <w:next w:val="Standard"/>
    <w:qFormat/>
    <w:numPr>
      <w:ilvl w:val="4"/>
      <w:numId w:val="1"/>
    </w:numPr>
    <w:pPr>
      <w:numPr>
        <w:ilvl w:val="4"/>
        <w:numId w:val="1"/>
      </w:numPr>
      <w:tabs>
        <w:tab w:val="clear" w:pos="360"/>
        <w:tab w:val="left" w:pos="1008"/>
      </w:tabs>
      <w:spacing w:before="240" w:after="60"/>
      <w:ind w:left="1008" w:hanging="1008"/>
      <w:outlineLvl w:val="4"/>
    </w:pPr>
    <w:rPr>
      <w:b/>
      <w:i/>
      <w:sz w:val="26"/>
    </w:rPr>
  </w:style>
  <w:style w:type="paragraph" w:styleId="berschrift6">
    <w:name w:val="Heading 6"/>
    <w:basedOn w:val="Standard"/>
    <w:next w:val="Standard"/>
    <w:qFormat/>
    <w:numPr>
      <w:ilvl w:val="5"/>
      <w:numId w:val="1"/>
    </w:numPr>
    <w:pPr>
      <w:numPr>
        <w:ilvl w:val="5"/>
        <w:numId w:val="1"/>
      </w:numPr>
      <w:tabs>
        <w:tab w:val="clear" w:pos="360"/>
        <w:tab w:val="left" w:pos="1152"/>
      </w:tabs>
      <w:spacing w:before="240" w:after="60"/>
      <w:ind w:left="1152" w:hanging="1152"/>
      <w:outlineLvl w:val="5"/>
    </w:pPr>
    <w:rPr>
      <w:rFonts w:ascii="Times New Roman" w:hAnsi="Times New Roman"/>
      <w:b/>
    </w:rPr>
  </w:style>
  <w:style w:type="paragraph" w:styleId="berschrift7">
    <w:name w:val="Heading 7"/>
    <w:basedOn w:val="Standard"/>
    <w:next w:val="Standard"/>
    <w:qFormat/>
    <w:numPr>
      <w:ilvl w:val="6"/>
      <w:numId w:val="1"/>
    </w:numPr>
    <w:pPr>
      <w:numPr>
        <w:ilvl w:val="6"/>
        <w:numId w:val="1"/>
      </w:numPr>
      <w:tabs>
        <w:tab w:val="clear" w:pos="360"/>
        <w:tab w:val="left" w:pos="1296"/>
      </w:tabs>
      <w:spacing w:before="240" w:after="60"/>
      <w:ind w:left="1296" w:hanging="1296"/>
      <w:outlineLvl w:val="6"/>
    </w:pPr>
    <w:rPr>
      <w:rFonts w:ascii="Times New Roman" w:hAnsi="Times New Roman"/>
      <w:sz w:val="24"/>
    </w:rPr>
  </w:style>
  <w:style w:type="paragraph" w:styleId="berschrift8">
    <w:name w:val="Heading 8"/>
    <w:basedOn w:val="Standard"/>
    <w:next w:val="Standard"/>
    <w:qFormat/>
    <w:numPr>
      <w:ilvl w:val="7"/>
      <w:numId w:val="1"/>
    </w:numPr>
    <w:pPr>
      <w:numPr>
        <w:ilvl w:val="7"/>
        <w:numId w:val="1"/>
      </w:numPr>
      <w:tabs>
        <w:tab w:val="clear" w:pos="360"/>
        <w:tab w:val="left" w:pos="1440"/>
      </w:tabs>
      <w:spacing w:before="240" w:after="60"/>
      <w:ind w:left="1440" w:hanging="1440"/>
      <w:outlineLvl w:val="7"/>
    </w:pPr>
    <w:rPr>
      <w:rFonts w:ascii="Times New Roman" w:hAnsi="Times New Roman"/>
      <w:i/>
      <w:sz w:val="24"/>
    </w:rPr>
  </w:style>
  <w:style w:type="paragraph" w:styleId="berschrift9">
    <w:name w:val="Heading 9"/>
    <w:basedOn w:val="Standard"/>
    <w:next w:val="Standard"/>
    <w:qFormat/>
    <w:numPr>
      <w:ilvl w:val="8"/>
      <w:numId w:val="1"/>
    </w:numPr>
    <w:pPr>
      <w:numPr>
        <w:ilvl w:val="8"/>
        <w:numId w:val="1"/>
      </w:numPr>
      <w:tabs>
        <w:tab w:val="clear" w:pos="360"/>
        <w:tab w:val="left" w:pos="1584"/>
      </w:tabs>
      <w:spacing w:before="240" w:after="60"/>
      <w:ind w:left="1584" w:hanging="1584"/>
      <w:outlineLvl w:val="8"/>
    </w:pPr>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character" w:styleId="berschrift3Zchn" w:customStyle="1">
    <w:name w:val="Überschrift 3 Zchn"/>
    <w:basedOn w:val="Absatz-Standardschriftart"/>
    <w:link w:val="Heading3"/>
    <w:rPr>
      <w:rFonts w:ascii="Arial" w:hAnsi="Arial"/>
      <w:b/>
      <w:sz w:val="22"/>
      <w:lang w:eastAsia="de-DE"/>
    </w:rPr>
  </w:style>
  <w:style w:type="paragraph" w:styleId="Kopfzeile">
    <w:name w:val="Header"/>
    <w:basedOn w:val="Standard"/>
    <w:link w:val="KopfzeileZchn"/>
    <w:pPr>
      <w:tabs>
        <w:tab w:val="right" w:pos="9356"/>
      </w:tabs>
      <w:spacing/>
    </w:pPr>
    <w:rPr/>
  </w:style>
  <w:style w:type="paragraph" w:styleId="Fuzeile">
    <w:name w:val="Footer"/>
    <w:basedOn w:val="Standard"/>
    <w:semiHidden/>
    <w:pPr>
      <w:tabs>
        <w:tab w:val="center" w:pos="4536"/>
        <w:tab w:val="right" w:pos="9072"/>
      </w:tabs>
      <w:spacing/>
    </w:pPr>
    <w:rPr/>
  </w:style>
  <w:style w:type="character" w:styleId="Seitenzahl">
    <w:name w:val="Page Number"/>
    <w:basedOn w:val="Absatz-Standardschriftart"/>
    <w:semiHidden/>
    <w:rPr/>
  </w:style>
  <w:style w:type="paragraph" w:styleId="Bulleted" w:customStyle="1">
    <w:name w:val="Bulleted"/>
    <w:basedOn w:val="Standard"/>
    <w:numPr>
      <w:numId w:val="6"/>
    </w:numPr>
    <w:pPr>
      <w:numPr>
        <w:numId w:val="6"/>
      </w:numPr>
      <w:spacing/>
    </w:pPr>
    <w:rPr/>
  </w:style>
  <w:style w:type="paragraph" w:styleId="Standardtext" w:customStyle="1">
    <w:name w:val="Standardtext"/>
    <w:basedOn w:val="Standard"/>
    <w:pPr>
      <w:spacing w:after="120" w:line="280" w:lineRule="exact"/>
      <w:ind w:left="709"/>
    </w:pPr>
    <w:rPr/>
  </w:style>
  <w:style w:type="paragraph" w:styleId="Aufzhlungszeichen">
    <w:name w:val="List Bullet"/>
    <w:basedOn w:val="Standard"/>
    <w:semiHidden/>
    <w:pPr>
      <w:tabs>
        <w:tab w:val="right" w:pos="7371"/>
        <w:tab w:val="right" w:pos="9072"/>
      </w:tabs>
      <w:spacing w:after="120"/>
      <w:ind w:left="709"/>
    </w:pPr>
    <w:rPr/>
  </w:style>
  <w:style w:type="paragraph" w:styleId="Titel">
    <w:name w:val="Title"/>
    <w:basedOn w:val="Standard"/>
    <w:qFormat/>
    <w:pPr>
      <w:spacing w:after="120"/>
      <w:jc w:val="center"/>
    </w:pPr>
    <w:rPr>
      <w:b/>
      <w:kern w:val="28"/>
      <w:sz w:val="28"/>
    </w:rPr>
  </w:style>
  <w:style w:type="paragraph" w:styleId="Titel2" w:customStyle="1">
    <w:name w:val="Titel2"/>
    <w:basedOn w:val="Titel"/>
    <w:pPr>
      <w:spacing/>
      <w:jc w:val="left"/>
    </w:pPr>
    <w:rPr>
      <w:sz w:val="40"/>
    </w:rPr>
  </w:style>
  <w:style w:type="character" w:styleId="Hyperlink">
    <w:name w:val="Hyperlink"/>
    <w:basedOn w:val="Absatz-Standardschriftart"/>
    <w:uiPriority w:val="99"/>
    <w:rPr>
      <w:color w:val="0000FF"/>
      <w:u w:val="single"/>
    </w:rPr>
  </w:style>
  <w:style w:type="paragraph" w:styleId="Verzeichnis1">
    <w:name w:val="TOC 1"/>
    <w:basedOn w:val="Standard"/>
    <w:next w:val="Standard"/>
    <w:uiPriority w:val="39"/>
    <w:pPr>
      <w:tabs>
        <w:tab w:val="left" w:pos="480"/>
        <w:tab w:val="right" w:leader="dot" w:pos="9402"/>
      </w:tabs>
      <w:spacing w:before="240" w:after="120"/>
    </w:pPr>
    <w:rPr/>
  </w:style>
  <w:style w:type="paragraph" w:styleId="Verzeichnis2">
    <w:name w:val="TOC 2"/>
    <w:basedOn w:val="Standard"/>
    <w:next w:val="Standard"/>
    <w:uiPriority w:val="39"/>
    <w:pPr>
      <w:tabs>
        <w:tab w:val="left" w:pos="960"/>
        <w:tab w:val="right" w:leader="dot" w:pos="9402"/>
      </w:tabs>
      <w:spacing w:before="60" w:after="60"/>
      <w:ind w:left="221"/>
    </w:pPr>
    <w:rPr/>
  </w:style>
  <w:style w:type="character" w:styleId="BesuchterLink">
    <w:name w:val="FollowedHyperlink"/>
    <w:basedOn w:val="Absatz-Standardschriftart"/>
    <w:semiHidden/>
    <w:rPr>
      <w:color w:val="800080"/>
      <w:u w:val="single"/>
    </w:rPr>
  </w:style>
  <w:style w:type="paragraph" w:styleId="Sprechblasentext">
    <w:name w:val="Balloon Text"/>
    <w:basedOn w:val="Standard"/>
    <w:link w:val="SprechblasentextZchn"/>
    <w:uiPriority w:val="99"/>
    <w:semiHidden/>
    <w:unhideWhenUsed/>
    <w:pPr>
      <w:spacing/>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eastAsia="de-DE"/>
    </w:rPr>
  </w:style>
  <w:style w:type="paragraph" w:styleId="Listenabsatz">
    <w:name w:val="List Paragraph"/>
    <w:basedOn w:val="Standard"/>
    <w:uiPriority w:val="34"/>
    <w:qFormat/>
    <w:pPr>
      <w:spacing/>
      <w:ind w:left="720"/>
      <w:contextualSpacing/>
    </w:pPr>
    <w:rPr/>
  </w:style>
  <w:style w:type="paragraph" w:styleId="Verzeichnis3">
    <w:name w:val="TOC 3"/>
    <w:basedOn w:val="Standard"/>
    <w:next w:val="Standard"/>
    <w:uiPriority w:val="39"/>
    <w:unhideWhenUsed/>
    <w:pPr>
      <w:spacing w:after="100"/>
      <w:ind w:left="440"/>
    </w:pPr>
    <w:rPr/>
  </w:style>
  <w:style w:type="paragraph" w:styleId="Absatz" w:customStyle="1">
    <w:name w:val="Absatz"/>
    <w:basedOn w:val="berschrift7"/>
    <w:numPr>
      <w:numId w:val="0"/>
    </w:numPr>
    <w:pPr>
      <w:numPr>
        <w:numId w:val="0"/>
      </w:numPr>
      <w:tabs>
        <w:tab w:val="clear" w:pos="1296"/>
        <w:tab w:val="num" w:pos="643"/>
      </w:tabs>
      <w:spacing w:before="0" w:after="0"/>
      <w:ind w:left="643" w:hanging="360"/>
      <w:outlineLvl w:val="6"/>
    </w:pPr>
    <w:rPr>
      <w:rFonts w:ascii="Arial" w:hAnsi="Arial" w:cs="Arial"/>
      <w:i/>
      <w:iCs/>
      <w:sz w:val="20"/>
      <w:lang w:eastAsia="de-CH"/>
    </w:rPr>
  </w:style>
  <w:style w:type="paragraph" w:styleId="Verzeichnis4">
    <w:name w:val="TOC 4"/>
    <w:basedOn w:val="Standard"/>
    <w:next w:val="Standard"/>
    <w:uiPriority w:val="39"/>
    <w:unhideWhenUsed/>
    <w:pPr>
      <w:spacing w:after="100" w:line="276" w:lineRule="auto"/>
      <w:ind w:left="660"/>
    </w:pPr>
    <w:rPr>
      <w:rFonts w:asciiTheme="minorHAnsi" w:hAnsiTheme="minorHAnsi" w:eastAsiaTheme="minorEastAsia" w:cstheme="minorBidi"/>
      <w:szCs w:val="22"/>
      <w:lang w:eastAsia="de-CH"/>
    </w:rPr>
  </w:style>
  <w:style w:type="paragraph" w:styleId="Verzeichnis5">
    <w:name w:val="TOC 5"/>
    <w:basedOn w:val="Standard"/>
    <w:next w:val="Standard"/>
    <w:uiPriority w:val="39"/>
    <w:unhideWhenUsed/>
    <w:pPr>
      <w:spacing w:after="100" w:line="276" w:lineRule="auto"/>
      <w:ind w:left="880"/>
    </w:pPr>
    <w:rPr>
      <w:rFonts w:asciiTheme="minorHAnsi" w:hAnsiTheme="minorHAnsi" w:eastAsiaTheme="minorEastAsia" w:cstheme="minorBidi"/>
      <w:szCs w:val="22"/>
      <w:lang w:eastAsia="de-CH"/>
    </w:rPr>
  </w:style>
  <w:style w:type="paragraph" w:styleId="Verzeichnis6">
    <w:name w:val="TOC 6"/>
    <w:basedOn w:val="Standard"/>
    <w:next w:val="Standard"/>
    <w:uiPriority w:val="39"/>
    <w:unhideWhenUsed/>
    <w:pPr>
      <w:spacing w:after="100" w:line="276" w:lineRule="auto"/>
      <w:ind w:left="1100"/>
    </w:pPr>
    <w:rPr>
      <w:rFonts w:asciiTheme="minorHAnsi" w:hAnsiTheme="minorHAnsi" w:eastAsiaTheme="minorEastAsia" w:cstheme="minorBidi"/>
      <w:szCs w:val="22"/>
      <w:lang w:eastAsia="de-CH"/>
    </w:rPr>
  </w:style>
  <w:style w:type="paragraph" w:styleId="Verzeichnis7">
    <w:name w:val="TOC 7"/>
    <w:basedOn w:val="Standard"/>
    <w:next w:val="Standard"/>
    <w:uiPriority w:val="39"/>
    <w:unhideWhenUsed/>
    <w:pPr>
      <w:spacing w:after="100" w:line="276" w:lineRule="auto"/>
      <w:ind w:left="1320"/>
    </w:pPr>
    <w:rPr>
      <w:rFonts w:asciiTheme="minorHAnsi" w:hAnsiTheme="minorHAnsi" w:eastAsiaTheme="minorEastAsia" w:cstheme="minorBidi"/>
      <w:szCs w:val="22"/>
      <w:lang w:eastAsia="de-CH"/>
    </w:rPr>
  </w:style>
  <w:style w:type="paragraph" w:styleId="Verzeichnis8">
    <w:name w:val="TOC 8"/>
    <w:basedOn w:val="Standard"/>
    <w:next w:val="Standard"/>
    <w:uiPriority w:val="39"/>
    <w:unhideWhenUsed/>
    <w:pPr>
      <w:spacing w:after="100" w:line="276" w:lineRule="auto"/>
      <w:ind w:left="1540"/>
    </w:pPr>
    <w:rPr>
      <w:rFonts w:asciiTheme="minorHAnsi" w:hAnsiTheme="minorHAnsi" w:eastAsiaTheme="minorEastAsia" w:cstheme="minorBidi"/>
      <w:szCs w:val="22"/>
      <w:lang w:eastAsia="de-CH"/>
    </w:rPr>
  </w:style>
  <w:style w:type="paragraph" w:styleId="Verzeichnis9">
    <w:name w:val="TOC 9"/>
    <w:basedOn w:val="Standard"/>
    <w:next w:val="Standard"/>
    <w:uiPriority w:val="39"/>
    <w:unhideWhenUsed/>
    <w:pPr>
      <w:spacing w:after="100" w:line="276" w:lineRule="auto"/>
      <w:ind w:left="1760"/>
    </w:pPr>
    <w:rPr>
      <w:rFonts w:asciiTheme="minorHAnsi" w:hAnsiTheme="minorHAnsi" w:eastAsiaTheme="minorEastAsia" w:cstheme="minorBidi"/>
      <w:szCs w:val="22"/>
      <w:lang w:eastAsia="de-CH"/>
    </w:rPr>
  </w:style>
  <w:style w:type="character" w:styleId="Kommentarzeichen" w:customStyle="1">
    <w:name w:val="annotation reference"/>
    <w:basedOn w:val="Absatz-Standardschriftart"/>
    <w:semiHidden/>
    <w:unhideWhenUsed/>
    <w:rPr>
      <w:sz w:val="16"/>
      <w:szCs w:val="16"/>
    </w:rPr>
  </w:style>
  <w:style w:type="paragraph" w:styleId="Kommentartext" w:customStyle="1">
    <w:name w:val="annotation text"/>
    <w:basedOn w:val="Standard"/>
    <w:link w:val="KommentartextZchn"/>
    <w:uiPriority w:val="99"/>
    <w:unhideWhenUsed/>
    <w:pPr>
      <w:spacing/>
    </w:pPr>
    <w:rPr>
      <w:sz w:val="20"/>
    </w:rPr>
  </w:style>
  <w:style w:type="character" w:styleId="KommentartextZchn" w:customStyle="1">
    <w:name w:val="Kommentartext Zchn"/>
    <w:basedOn w:val="Absatz-Standardschriftart"/>
    <w:link w:val="annotationtext"/>
    <w:uiPriority w:val="99"/>
    <w:rPr>
      <w:rFonts w:ascii="Arial" w:hAnsi="Arial"/>
      <w:lang w:eastAsia="de-DE"/>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rFonts w:ascii="Arial" w:hAnsi="Arial"/>
      <w:b/>
      <w:bCs/>
      <w:lang w:eastAsia="de-DE"/>
    </w:rPr>
  </w:style>
  <w:style w:type="character" w:styleId="KopfzeileZchn" w:customStyle="1">
    <w:name w:val="Kopfzeile Zchn"/>
    <w:basedOn w:val="Absatz-Standardschriftart"/>
    <w:link w:val="Header"/>
    <w:rPr>
      <w:rFonts w:ascii="Arial" w:hAnsi="Arial"/>
      <w:sz w:val="22"/>
      <w:lang w:eastAsia="de-DE"/>
    </w:rPr>
  </w:style>
  <w:style w:type="table" w:styleId="Tabellenraster">
    <w:name w:val="Table Grid"/>
    <w:basedOn w:val="NormaleTabelle"/>
    <w:uiPriority w:val="59"/>
    <w:pPr>
      <w: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unotenzeichen">
    <w:name w:val="Footnote Reference"/>
    <w:basedOn w:val="Absatz-Standardschriftart"/>
    <w:rPr>
      <w:vertAlign w:val="superscript"/>
    </w:rPr>
  </w:style>
  <w:style w:type="paragraph" w:styleId="Text" w:customStyle="1">
    <w:name w:val="Text"/>
    <w:basedOn w:val="Standard"/>
    <w:pPr>
      <w:spacing w:line="280" w:lineRule="atLeast"/>
    </w:pPr>
    <w:rPr>
      <w:spacing w:val="8"/>
      <w:sz w:val="20"/>
    </w:rPr>
  </w:style>
  <w:style w:type="paragraph" w:styleId="EinrckungohneAufzhlung" w:customStyle="1">
    <w:name w:val="Einrückung ohne Aufzählung"/>
    <w:basedOn w:val="Standard"/>
    <w:qFormat/>
    <w:pPr>
      <w:spacing/>
      <w:ind w:left="5954" w:hanging="4536"/>
    </w:pPr>
    <w:rPr/>
  </w:style>
  <w:style w:type="paragraph" w:styleId="UntertitelFett" w:customStyle="1">
    <w:name w:val="Untertitel Fett"/>
    <w:basedOn w:val="Standard"/>
    <w:qFormat/>
    <w:pPr>
      <w:spacing w:before="240" w:after="120"/>
      <w:ind w:left="709"/>
    </w:pPr>
    <w:rPr>
      <w:b/>
    </w:rPr>
  </w:style>
  <w:style w:type="character" w:styleId="NichtaufgelsteErwhnung" w:customStyle="1">
    <w:name w:val="Unresolved Mention"/>
    <w:basedOn w:val="Absatz-Standardschriftart"/>
    <w:uiPriority w:val="99"/>
    <w:semiHidden/>
    <w:unhideWhenUsed/>
    <w:rPr>
      <w:color w:val="605E5C"/>
      <w:shd w:val="clear" w:color="auto" w:fill="E1DFDD"/>
    </w:rPr>
  </w:style>
  <w:style w:type="paragraph" w:styleId="Aufzhlung" w:customStyle="1">
    <w:name w:val="Aufzählung"/>
    <w:basedOn w:val="Standard"/>
    <w:qFormat/>
    <w:pPr>
      <w:spacing w:before="60" w:after="60"/>
    </w:pPr>
    <w:rPr>
      <w:rFonts w:cs="Arial"/>
    </w:rPr>
  </w:style>
  <w:style w:type="paragraph" w:styleId="Tabellentext" w:customStyle="1">
    <w:name w:val="Tabellentext"/>
    <w:basedOn w:val="Standardtext"/>
    <w:qFormat/>
    <w:pPr>
      <w:spacing w:before="40" w:after="40"/>
      <w:ind w:left="0"/>
    </w:pPr>
    <w:rPr/>
  </w:style>
  <w:style w:type="paragraph" w:styleId="berarbeitung" w:customStyle="1">
    <w:name w:val="Revision"/>
    <w:uiPriority w:val="99"/>
    <w:semiHidden/>
    <w:pPr>
      <w:spacing/>
    </w:pPr>
    <w:rPr>
      <w:rFonts w:ascii="Arial" w:hAnsi="Arial"/>
      <w:sz w:val="22"/>
      <w:lang w:eastAsia="de-DE"/>
    </w:rPr>
  </w:style>
  <w:style w:type="paragraph" w:styleId="ListemitZahlen" w:customStyle="1">
    <w:name w:val="Liste mit Zahlen"/>
    <w:basedOn w:val="Standard"/>
    <w:numPr>
      <w:numId w:val="4"/>
    </w:numPr>
    <w:pPr>
      <w:numPr>
        <w:numId w:val="4"/>
      </w:numPr>
      <w:adjustRightInd w:val="false"/>
      <w:snapToGrid w:val="off"/>
      <w:spacing w:line="280" w:lineRule="atLeast"/>
    </w:pPr>
    <w:rPr>
      <w:spacing w:val="3"/>
      <w:szCs w:val="24"/>
      <w:lang w:eastAsia="de-CH"/>
    </w:rPr>
  </w:style>
  <w:style w:type="paragraph" w:styleId="CISPunktEinzug" w:customStyle="1">
    <w:name w:val="CIS_Punkt_Einzug"/>
    <w:basedOn w:val="Standard"/>
    <w:qFormat/>
    <w:numPr>
      <w:numId w:val="9"/>
    </w:numPr>
    <w:pPr>
      <w:widowControl w:val="false"/>
      <w:numPr>
        <w:numId w:val="9"/>
      </w:numPr>
      <w:spacing w:after="120" w:line="259" w:lineRule="auto"/>
    </w:pPr>
    <w:rPr>
      <w:rFonts w:ascii="Frutiger LT Com 55 Roman" w:hAnsi="Frutiger LT Com 55 Roman" w:eastAsia="Frutiger LT Com 55 Roman"/>
      <w:sz w:val="20"/>
      <w:szCs w:val="24"/>
      <w:lang w:eastAsia="de-CH"/>
    </w:rPr>
  </w:style>
  <w:style w:type="paragraph" w:styleId="Untertitel">
    <w:name w:val="Subtitle"/>
    <w:basedOn w:val="Standard"/>
    <w:next w:val="Standard"/>
    <w:link w:val="UntertitelZchn"/>
    <w:uiPriority w:val="7"/>
    <w:qFormat/>
    <w:numPr>
      <w:ilvl w:val="1"/>
    </w:numPr>
    <w:pPr>
      <w:numPr>
        <w:ilvl w:val="1"/>
      </w:numPr>
      <w:spacing w:before="200" w:after="100"/>
      <w:contextualSpacing/>
    </w:pPr>
    <w:rPr>
      <w:rFonts w:asciiTheme="majorHAnsi" w:hAnsiTheme="majorHAnsi" w:eastAsiaTheme="majorEastAsia" w:cstheme="majorBidi"/>
      <w:b/>
      <w:iCs/>
      <w:sz w:val="28"/>
      <w:szCs w:val="24"/>
      <w:lang w:eastAsia="en-US"/>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rPr>
  </w:style>
  <w:style w:type="table" w:styleId="TBATabellenrasterohneRahmenlinien" w:customStyle="1">
    <w:name w:val="TBA Tabellenraster ohne Rahmenlinien"/>
    <w:basedOn w:val="NormaleTabelle"/>
    <w:uiPriority w:val="99"/>
    <w:pPr>
      <w:spacing/>
    </w:pPr>
    <w:rPr>
      <w:rFonts w:asciiTheme="minorHAnsi" w:hAnsiTheme="minorHAnsi" w:eastAsiaTheme="minorHAnsi" w:cstheme="minorBidi"/>
      <w:lang w:val="en-US"/>
    </w:rPr>
    <w:tblPr>
      <w:tblCellMar>
        <w:left w:w="0" w:type="dxa"/>
        <w:right w:w="0" w:type="dxa"/>
      </w:tblCellMar>
    </w:tblPr>
  </w:style>
</w:styles>
</file>

<file path=word/_rels/document.xml.rels>&#65279;<?xml version="1.0" encoding="utf-8" standalone="yes"?><Relationships xmlns="http://schemas.openxmlformats.org/package/2006/relationships"><Relationship Id="rId10" Type="http://schemas.openxmlformats.org/officeDocument/2006/relationships/styles" Target="styles.xml" /><Relationship Id="rId11" Type="http://schemas.openxmlformats.org/officeDocument/2006/relationships/settings" Target="settings.xml" /><Relationship Id="rId12" Type="http://schemas.openxmlformats.org/officeDocument/2006/relationships/theme" Target="theme/theme1.xml" /><Relationship Id="rId13" Type="http://schemas.openxmlformats.org/officeDocument/2006/relationships/numbering" Target="numbering.xml" /><Relationship Id="rId3" Type="http://schemas.openxmlformats.org/officeDocument/2006/relationships/header" Target="header3.xml" /><Relationship Id="rId5" Type="http://schemas.openxmlformats.org/officeDocument/2006/relationships/footer" Target="footer5.xml" /><Relationship Id="rId4" Type="http://schemas.openxmlformats.org/officeDocument/2006/relationships/header" Target="header4.xml" /><Relationship Id="rId14"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2.png" /><Relationship Id="rId15" Type="http://schemas.openxmlformats.org/officeDocument/2006/relationships/customXml" Target="../customXml/item1.xml" /><Relationship Id="rId16" Type="http://schemas.openxmlformats.org/officeDocument/2006/relationships/customXml" Target="../customXml/item2.xml" /><Relationship Id="rId17" Type="http://schemas.openxmlformats.org/officeDocument/2006/relationships/customXml" Target="../customXml/item3.xml" /><Relationship Id="rId18" Type="http://schemas.openxmlformats.org/officeDocument/2006/relationships/customXml" Target="../customXml/item4.xml" /></Relationships>
</file>

<file path=word/_rels/header3.xml.rels>&#65279;<?xml version="1.0" encoding="utf-8" standalone="yes"?><Relationships xmlns="http://schemas.openxmlformats.org/package/2006/relationships"><Relationship Id="rId6"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 Id="rId7" Type="http://schemas.openxmlformats.org/officeDocument/2006/relationships/image" Target="media/image1.sv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N:/Vorlagen/12_Submission/Ing_Subm_DokA.dot" TargetMode="External" /></Relationship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A148DA00457824EA85DDB6A8E8F551C" ma:contentTypeVersion="11" ma:contentTypeDescription="Ein neues Dokument erstellen." ma:contentTypeScope="" ma:versionID="55c5cd7a95280f0871b53f91ce7b75bf">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63a4aeeb398ec394d1cd5ab32155ed3d"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A5EA4-5312-4353-8B26-C5B9A5D4A16D}">
  <ds:schemaRefs>
    <ds:schemaRef ds:uri="http://schemas.microsoft.com/office/2006/metadata/properties"/>
    <ds:schemaRef ds:uri="http://schemas.microsoft.com/office/infopath/2007/PartnerControls"/>
    <ds:schemaRef ds:uri="b1566e0e-cb7e-43d9-bcd7-aeb4d7e7cd7f"/>
    <ds:schemaRef ds:uri="3b5ab623-3b44-4715-9ecf-8e9c542c2522"/>
  </ds:schemaRefs>
</ds:datastoreItem>
</file>

<file path=customXml/itemProps2.xml><?xml version="1.0" encoding="utf-8"?>
<ds:datastoreItem xmlns:ds="http://schemas.openxmlformats.org/officeDocument/2006/customXml" ds:itemID="{FFC91B2D-3E23-4E6C-9ADE-FE100511B73E}">
  <ds:schemaRefs>
    <ds:schemaRef ds:uri="http://schemas.microsoft.com/sharepoint/v3/contenttype/forms"/>
  </ds:schemaRefs>
</ds:datastoreItem>
</file>

<file path=customXml/itemProps3.xml><?xml version="1.0" encoding="utf-8"?>
<ds:datastoreItem xmlns:ds="http://schemas.openxmlformats.org/officeDocument/2006/customXml" ds:itemID="{2B446E09-F54D-4455-9544-9BAA3053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0691D-5E81-4D1D-BD45-6040821A3DF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Ing_Subm_DokA.dot</Template>
  <TotalTime>0</TotalTime>
  <Pages>7</Pages>
  <Words>898</Words>
  <Characters>6333</Characters>
  <Application>Microsoft Office Word</Application>
  <DocSecurity>0</DocSecurity>
  <Lines>52</Lines>
  <Paragraphs>14</Paragraphs>
  <Company>Helbling Beratung+Bauplanung AG, ZH</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Ing_Subm_DokA</dc:title>
  <dc:creator>Hübner Jens</dc:creator>
  <cp:lastModifiedBy>Stämpfli Andreas, TVS TAB</cp:lastModifiedBy>
  <cp:lastPrinted>2024-02-14T13:20:00Z</cp:lastPrinted>
  <cp:revision>2</cp:revision>
  <dcterms:created xsi:type="dcterms:W3CDTF">2025-03-24T12:57:00Z</dcterms:created>
  <dcterms:modified xsi:type="dcterms:W3CDTF">2025-03-24T12:57:00Z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MediaServiceImageTags" pid="3">
    <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C8_Vorgaben_ewb_Spitzarbeiten_anin_Starkstromanlagen_V2.0</vt:lpstr>
  </property>
  <property fmtid="{D5CDD505-2E9C-101B-9397-08002B2CF9AE}" name="QMP-Nr" pid="13">
    <vt:lpstr>965.059.V</vt:lpstr>
  </property>
  <property fmtid="{D5CDD505-2E9C-101B-9397-08002B2CF9AE}" name="QMP-Owner" pid="14">
    <vt:lpstr>Schneeberger Marc</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2.0</vt:lpstr>
  </property>
  <property fmtid="{D5CDD505-2E9C-101B-9397-08002B2CF9AE}" name="QMP-ValidTo" pid="21">
    <vt:lpstr/>
  </property>
</Properties>
</file>